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D" w:rsidRPr="00CD159D" w:rsidRDefault="00CD159D" w:rsidP="00CD159D">
      <w:pPr>
        <w:jc w:val="center"/>
        <w:rPr>
          <w:b/>
        </w:rPr>
      </w:pPr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>
        <w:t xml:space="preserve"> </w:t>
      </w: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D57C27" w:rsidRDefault="00D57C27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</w:p>
    <w:p w:rsidR="00D57C27" w:rsidRDefault="00D57C27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</w:p>
    <w:p w:rsidR="00D57C27" w:rsidRDefault="00D57C27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</w:p>
    <w:p w:rsidR="00D57C27" w:rsidRDefault="00D57C27" w:rsidP="00AF5DB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</w:pP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lastRenderedPageBreak/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Solidaridad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65523D" w:rsidRDefault="0065523D" w:rsidP="00211469">
      <w:pPr>
        <w:jc w:val="center"/>
        <w:rPr>
          <w:b/>
        </w:rPr>
      </w:pP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547CF3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65523D" w:rsidRDefault="0065523D" w:rsidP="008C1BB7">
      <w:pPr>
        <w:jc w:val="center"/>
        <w:rPr>
          <w:b/>
        </w:rPr>
      </w:pP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Ejercicio Fiscal</w:t>
      </w:r>
    </w:p>
    <w:p w:rsidR="008C1BB7" w:rsidRDefault="008C1BB7" w:rsidP="008C1BB7">
      <w:r>
        <w:t>Ejercicio 201</w:t>
      </w:r>
      <w:r w:rsidR="00B36972">
        <w:t>8</w:t>
      </w:r>
      <w:r>
        <w:t>, periodo</w:t>
      </w:r>
      <w:r w:rsidR="00C25374">
        <w:t xml:space="preserve"> </w:t>
      </w:r>
      <w:r w:rsidR="008F7F11">
        <w:t>Diciembre</w:t>
      </w:r>
      <w:r>
        <w:t>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3630BF">
      <w:pPr>
        <w:ind w:left="708" w:hanging="708"/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8C1BB7" w:rsidRDefault="008C1BB7" w:rsidP="00C712A6">
      <w:pPr>
        <w:pStyle w:val="Prrafodelista"/>
        <w:jc w:val="both"/>
      </w:pPr>
      <w:r>
        <w:t xml:space="preserve"> </w:t>
      </w:r>
    </w:p>
    <w:p w:rsidR="008C1BB7" w:rsidRDefault="008C1BB7" w:rsidP="008C1BB7">
      <w:pPr>
        <w:jc w:val="both"/>
      </w:pPr>
      <w:r>
        <w:lastRenderedPageBreak/>
        <w:t>Además, se tien</w:t>
      </w:r>
      <w:r w:rsidR="00C712A6">
        <w:t>e la obligación de presentar la declaración informativa de operaciones con terceros (DIOT)</w:t>
      </w:r>
      <w:r w:rsidR="00835549">
        <w:t xml:space="preserve"> y tanto declaración de </w:t>
      </w:r>
      <w:r w:rsidR="00C712A6">
        <w:t xml:space="preserve">impuesto sobre nómina </w:t>
      </w:r>
      <w:r w:rsidR="00835549">
        <w:t xml:space="preserve">e impuesto cedular por arrendamiento </w:t>
      </w:r>
      <w:r w:rsidR="00C712A6">
        <w:t>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D57C27" w:rsidP="00C712A6">
      <w:pPr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24E0E2A3" wp14:editId="626346C1">
            <wp:simplePos x="0" y="0"/>
            <wp:positionH relativeFrom="column">
              <wp:posOffset>-7925</wp:posOffset>
            </wp:positionH>
            <wp:positionV relativeFrom="paragraph">
              <wp:posOffset>229235</wp:posOffset>
            </wp:positionV>
            <wp:extent cx="5743575" cy="4437380"/>
            <wp:effectExtent l="0" t="0" r="9525" b="1270"/>
            <wp:wrapNone/>
            <wp:docPr id="84" name="Imagen 84" descr="C:\Users\Miguel\Documents\ORGANIG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iguel\Documents\ORGANIGRA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4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2A6" w:rsidRPr="00C712A6">
        <w:rPr>
          <w:b/>
        </w:rPr>
        <w:t>Estructura organizacional básica</w:t>
      </w: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C25374" w:rsidRDefault="00C25374" w:rsidP="00C712A6">
      <w:pPr>
        <w:jc w:val="center"/>
        <w:rPr>
          <w:b/>
        </w:rPr>
      </w:pPr>
    </w:p>
    <w:p w:rsidR="00C25374" w:rsidRDefault="00C25374" w:rsidP="00C712A6">
      <w:pPr>
        <w:jc w:val="center"/>
        <w:rPr>
          <w:b/>
        </w:rPr>
      </w:pPr>
    </w:p>
    <w:p w:rsidR="00C25374" w:rsidRDefault="00C25374" w:rsidP="00C712A6">
      <w:pPr>
        <w:jc w:val="center"/>
        <w:rPr>
          <w:b/>
        </w:rPr>
      </w:pP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t>Fideicomisos, mandatos y análogos de los cuales es fideicomitente o fiduciario</w:t>
      </w:r>
    </w:p>
    <w:p w:rsidR="00C712A6" w:rsidRDefault="00C712A6" w:rsidP="00C712A6">
      <w:pPr>
        <w:rPr>
          <w:b/>
        </w:rPr>
      </w:pPr>
      <w:r>
        <w:rPr>
          <w:b/>
        </w:rPr>
        <w:t>“No Aplica”.</w:t>
      </w:r>
    </w:p>
    <w:p w:rsidR="00C712A6" w:rsidRDefault="005E6F01" w:rsidP="0065523D">
      <w:pPr>
        <w:jc w:val="center"/>
        <w:rPr>
          <w:b/>
        </w:rPr>
      </w:pPr>
      <w:r w:rsidRPr="005E6F01">
        <w:rPr>
          <w:b/>
        </w:rPr>
        <w:lastRenderedPageBreak/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5E6F01" w:rsidP="005E6F01">
      <w:pPr>
        <w:rPr>
          <w:b/>
        </w:rPr>
      </w:pPr>
      <w:r w:rsidRPr="005E6F01">
        <w:rPr>
          <w:b/>
        </w:rPr>
        <w:t>Si se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>de Protección Social</w:t>
      </w:r>
      <w:r w:rsidR="00DE3864">
        <w:t xml:space="preserve">  </w:t>
      </w:r>
      <w:r>
        <w:t>en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245353" w:rsidRDefault="00245353" w:rsidP="001A0FAA">
      <w:pPr>
        <w:jc w:val="both"/>
      </w:pPr>
      <w:r>
        <w:t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5E6F01" w:rsidRDefault="005E6F01" w:rsidP="005E6F01"/>
    <w:p w:rsidR="00D57C27" w:rsidRDefault="00D57C27" w:rsidP="005E6F01"/>
    <w:p w:rsidR="00D57C27" w:rsidRDefault="00D57C27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lastRenderedPageBreak/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65523D" w:rsidRDefault="0065523D" w:rsidP="0018166C">
      <w:pPr>
        <w:jc w:val="center"/>
        <w:rPr>
          <w:b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C677AC" w:rsidP="002422BB">
      <w:pPr>
        <w:jc w:val="both"/>
      </w:pPr>
      <w:r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r>
        <w:t xml:space="preserve">El saldo al </w:t>
      </w:r>
      <w:r w:rsidR="00C25374">
        <w:t>3</w:t>
      </w:r>
      <w:r w:rsidR="008F7F11">
        <w:t xml:space="preserve">1 de diciembre </w:t>
      </w:r>
      <w:r w:rsidR="00B36972">
        <w:t xml:space="preserve">de 2018 </w:t>
      </w:r>
      <w:r>
        <w:t>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291F40" w:rsidRDefault="00291F40" w:rsidP="0018166C">
      <w:pPr>
        <w:jc w:val="center"/>
        <w:rPr>
          <w:b/>
        </w:rPr>
      </w:pPr>
    </w:p>
    <w:p w:rsidR="00B36972" w:rsidRDefault="00B36972" w:rsidP="0018166C">
      <w:pPr>
        <w:jc w:val="center"/>
        <w:rPr>
          <w:b/>
        </w:rPr>
      </w:pPr>
    </w:p>
    <w:p w:rsidR="00B36972" w:rsidRDefault="00B36972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lastRenderedPageBreak/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  <w:r>
        <w:t xml:space="preserve"> 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8F7F11" w:rsidRDefault="0018166C" w:rsidP="008F7F11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18166C" w:rsidRDefault="0018166C" w:rsidP="008F7F11">
      <w:pPr>
        <w:jc w:val="center"/>
        <w:rPr>
          <w:b/>
        </w:rPr>
      </w:pPr>
      <w:r w:rsidRPr="0018166C">
        <w:rPr>
          <w:b/>
        </w:rPr>
        <w:t>Reporte Analítico del Activo</w:t>
      </w:r>
    </w:p>
    <w:p w:rsidR="0018166C" w:rsidRDefault="00AD3340" w:rsidP="0018166C">
      <w:r>
        <w:t>Principales variaciones en el activo, en inversiones en valores y patrimonio, como sigue:</w:t>
      </w:r>
    </w:p>
    <w:p w:rsidR="008F7F11" w:rsidRDefault="008F7F11" w:rsidP="0018166C">
      <w:r w:rsidRPr="008F7F11"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3E6525E6" wp14:editId="496BC444">
            <wp:simplePos x="0" y="0"/>
            <wp:positionH relativeFrom="column">
              <wp:posOffset>364185</wp:posOffset>
            </wp:positionH>
            <wp:positionV relativeFrom="paragraph">
              <wp:posOffset>155575</wp:posOffset>
            </wp:positionV>
            <wp:extent cx="4834890" cy="255270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972" w:rsidRDefault="00B36972" w:rsidP="0018166C"/>
    <w:p w:rsidR="00B36972" w:rsidRDefault="00B36972" w:rsidP="00835549">
      <w:pPr>
        <w:jc w:val="center"/>
      </w:pPr>
    </w:p>
    <w:p w:rsidR="007C4194" w:rsidRDefault="007C4194" w:rsidP="007C4194">
      <w:pPr>
        <w:jc w:val="center"/>
      </w:pPr>
    </w:p>
    <w:p w:rsidR="00364238" w:rsidRDefault="00364238" w:rsidP="0018166C"/>
    <w:p w:rsidR="00364238" w:rsidRDefault="00364238" w:rsidP="00F06BD4">
      <w:pPr>
        <w:rPr>
          <w:b/>
        </w:rPr>
      </w:pPr>
    </w:p>
    <w:p w:rsidR="00B36972" w:rsidRDefault="00B36972" w:rsidP="00F06BD4">
      <w:pPr>
        <w:rPr>
          <w:b/>
        </w:rPr>
      </w:pPr>
    </w:p>
    <w:p w:rsidR="00B36972" w:rsidRDefault="00B36972" w:rsidP="00F06BD4">
      <w:pPr>
        <w:rPr>
          <w:b/>
        </w:rPr>
      </w:pPr>
    </w:p>
    <w:p w:rsidR="00835549" w:rsidRDefault="00835549" w:rsidP="00835549">
      <w:pPr>
        <w:rPr>
          <w:b/>
        </w:rPr>
      </w:pPr>
    </w:p>
    <w:p w:rsidR="00F06BD4" w:rsidRPr="00F06BD4" w:rsidRDefault="00F06BD4" w:rsidP="00835549">
      <w:pPr>
        <w:jc w:val="center"/>
        <w:rPr>
          <w:b/>
        </w:rPr>
      </w:pPr>
      <w:r w:rsidRPr="00F06BD4">
        <w:rPr>
          <w:b/>
        </w:rPr>
        <w:t>Responsabilidad sobre la presentación razonable de los Estados Financieros</w:t>
      </w:r>
    </w:p>
    <w:p w:rsidR="009D5C60" w:rsidRDefault="009D5C60" w:rsidP="00F06BD4">
      <w:pPr>
        <w:jc w:val="both"/>
      </w:pPr>
    </w:p>
    <w:p w:rsidR="00F06BD4" w:rsidRDefault="00F06BD4" w:rsidP="00F06BD4">
      <w:pPr>
        <w:jc w:val="both"/>
      </w:pPr>
      <w:r>
        <w:t xml:space="preserve"> 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p w:rsidR="00B36972" w:rsidRDefault="00B36972" w:rsidP="00F06BD4">
      <w:pPr>
        <w:jc w:val="both"/>
      </w:pPr>
    </w:p>
    <w:p w:rsidR="008F7F11" w:rsidRDefault="008F7F11" w:rsidP="00F06BD4">
      <w:pPr>
        <w:jc w:val="both"/>
      </w:pPr>
    </w:p>
    <w:p w:rsidR="00B36972" w:rsidRDefault="008F7F11" w:rsidP="00F06BD4">
      <w:pPr>
        <w:jc w:val="both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147EFF1" wp14:editId="4FCCC824">
            <wp:simplePos x="0" y="0"/>
            <wp:positionH relativeFrom="column">
              <wp:posOffset>-443865</wp:posOffset>
            </wp:positionH>
            <wp:positionV relativeFrom="paragraph">
              <wp:posOffset>509905</wp:posOffset>
            </wp:positionV>
            <wp:extent cx="6566535" cy="210185"/>
            <wp:effectExtent l="0" t="0" r="5715" b="0"/>
            <wp:wrapSquare wrapText="bothSides"/>
            <wp:docPr id="9" name="8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210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6972" w:rsidSect="008F7F11">
      <w:head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1B" w:rsidRDefault="0094051B" w:rsidP="00B67E92">
      <w:pPr>
        <w:spacing w:after="0" w:line="240" w:lineRule="auto"/>
      </w:pPr>
      <w:r>
        <w:separator/>
      </w:r>
    </w:p>
  </w:endnote>
  <w:endnote w:type="continuationSeparator" w:id="0">
    <w:p w:rsidR="0094051B" w:rsidRDefault="0094051B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1B" w:rsidRDefault="0094051B" w:rsidP="00B67E92">
      <w:pPr>
        <w:spacing w:after="0" w:line="240" w:lineRule="auto"/>
      </w:pPr>
      <w:r>
        <w:separator/>
      </w:r>
    </w:p>
  </w:footnote>
  <w:footnote w:type="continuationSeparator" w:id="0">
    <w:p w:rsidR="0094051B" w:rsidRDefault="0094051B" w:rsidP="00B6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44" w:rsidRDefault="00092744">
    <w:pPr>
      <w:pStyle w:val="Encabezado"/>
      <w:jc w:val="center"/>
    </w:pPr>
  </w:p>
  <w:p w:rsidR="00092744" w:rsidRDefault="000927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D"/>
    <w:rsid w:val="00032EDC"/>
    <w:rsid w:val="00091199"/>
    <w:rsid w:val="00092744"/>
    <w:rsid w:val="000A5AF2"/>
    <w:rsid w:val="000C2B02"/>
    <w:rsid w:val="00107D29"/>
    <w:rsid w:val="0018166C"/>
    <w:rsid w:val="001A0FAA"/>
    <w:rsid w:val="001A5371"/>
    <w:rsid w:val="001D73E8"/>
    <w:rsid w:val="00211469"/>
    <w:rsid w:val="002201EA"/>
    <w:rsid w:val="002260C2"/>
    <w:rsid w:val="002422BB"/>
    <w:rsid w:val="00245353"/>
    <w:rsid w:val="00273F1A"/>
    <w:rsid w:val="00291F40"/>
    <w:rsid w:val="002C4957"/>
    <w:rsid w:val="002E0D6B"/>
    <w:rsid w:val="003630BF"/>
    <w:rsid w:val="00364238"/>
    <w:rsid w:val="00384DAB"/>
    <w:rsid w:val="00414C66"/>
    <w:rsid w:val="00434F15"/>
    <w:rsid w:val="00456C24"/>
    <w:rsid w:val="00520991"/>
    <w:rsid w:val="00547CF3"/>
    <w:rsid w:val="00575931"/>
    <w:rsid w:val="005E6F01"/>
    <w:rsid w:val="00600BC5"/>
    <w:rsid w:val="006206D3"/>
    <w:rsid w:val="006511A2"/>
    <w:rsid w:val="0065523D"/>
    <w:rsid w:val="00656930"/>
    <w:rsid w:val="006D4E1E"/>
    <w:rsid w:val="00721DAA"/>
    <w:rsid w:val="00756F63"/>
    <w:rsid w:val="00767DCE"/>
    <w:rsid w:val="007735BF"/>
    <w:rsid w:val="007B623E"/>
    <w:rsid w:val="007C4194"/>
    <w:rsid w:val="00804108"/>
    <w:rsid w:val="00835549"/>
    <w:rsid w:val="00837297"/>
    <w:rsid w:val="008C1BB7"/>
    <w:rsid w:val="008F7F11"/>
    <w:rsid w:val="0094051B"/>
    <w:rsid w:val="0095502B"/>
    <w:rsid w:val="009921A3"/>
    <w:rsid w:val="00993AFB"/>
    <w:rsid w:val="009D5C60"/>
    <w:rsid w:val="00AD3340"/>
    <w:rsid w:val="00AF5DB8"/>
    <w:rsid w:val="00B01AC7"/>
    <w:rsid w:val="00B36972"/>
    <w:rsid w:val="00B67E92"/>
    <w:rsid w:val="00B91EC8"/>
    <w:rsid w:val="00BA2420"/>
    <w:rsid w:val="00BB02D7"/>
    <w:rsid w:val="00C113D5"/>
    <w:rsid w:val="00C11EC1"/>
    <w:rsid w:val="00C25374"/>
    <w:rsid w:val="00C469BF"/>
    <w:rsid w:val="00C677AC"/>
    <w:rsid w:val="00C712A6"/>
    <w:rsid w:val="00C831A8"/>
    <w:rsid w:val="00CD159D"/>
    <w:rsid w:val="00CE0347"/>
    <w:rsid w:val="00D23E4A"/>
    <w:rsid w:val="00D2550E"/>
    <w:rsid w:val="00D53804"/>
    <w:rsid w:val="00D57C27"/>
    <w:rsid w:val="00D64231"/>
    <w:rsid w:val="00D74994"/>
    <w:rsid w:val="00DE3864"/>
    <w:rsid w:val="00E622F6"/>
    <w:rsid w:val="00F06BD4"/>
    <w:rsid w:val="00F93117"/>
    <w:rsid w:val="00F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1410</Words>
  <Characters>7928</Characters>
  <Application>Microsoft Office Word</Application>
  <DocSecurity>0</DocSecurity>
  <Lines>214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Miguel</cp:lastModifiedBy>
  <cp:revision>3</cp:revision>
  <cp:lastPrinted>2018-07-13T18:06:00Z</cp:lastPrinted>
  <dcterms:created xsi:type="dcterms:W3CDTF">2019-01-17T17:18:00Z</dcterms:created>
  <dcterms:modified xsi:type="dcterms:W3CDTF">2019-01-17T17:21:00Z</dcterms:modified>
</cp:coreProperties>
</file>