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27" w:rsidRDefault="004E3C27" w:rsidP="00CD159D">
      <w:pPr>
        <w:jc w:val="center"/>
        <w:rPr>
          <w:b/>
        </w:rPr>
      </w:pPr>
      <w:r>
        <w:rPr>
          <w:b/>
        </w:rPr>
        <w:t>RÉGIMEN DE PROTECCIÓN SOCIAL EN SALUD DEL ESTADO DE GUANAJUATO</w:t>
      </w:r>
    </w:p>
    <w:p w:rsidR="004E3C27" w:rsidRDefault="004E3C27" w:rsidP="00CD159D">
      <w:pPr>
        <w:jc w:val="center"/>
        <w:rPr>
          <w:b/>
        </w:rPr>
      </w:pPr>
      <w:r>
        <w:rPr>
          <w:b/>
        </w:rPr>
        <w:t>Al 3</w:t>
      </w:r>
      <w:r w:rsidR="004864EB">
        <w:rPr>
          <w:b/>
        </w:rPr>
        <w:t>0</w:t>
      </w:r>
      <w:r>
        <w:rPr>
          <w:b/>
        </w:rPr>
        <w:t xml:space="preserve"> de </w:t>
      </w:r>
      <w:r w:rsidR="004864EB">
        <w:rPr>
          <w:b/>
        </w:rPr>
        <w:t>septiembre</w:t>
      </w:r>
      <w:r w:rsidR="00472663">
        <w:rPr>
          <w:b/>
        </w:rPr>
        <w:t xml:space="preserve"> </w:t>
      </w:r>
      <w:r>
        <w:rPr>
          <w:b/>
        </w:rPr>
        <w:t xml:space="preserve">de </w:t>
      </w:r>
      <w:r w:rsidR="00472663">
        <w:rPr>
          <w:b/>
        </w:rPr>
        <w:t>2020</w:t>
      </w:r>
    </w:p>
    <w:p w:rsid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C15593" w:rsidRDefault="00AF5DB8" w:rsidP="0047266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</w:t>
      </w:r>
      <w:bookmarkStart w:id="0" w:name="_GoBack"/>
      <w:bookmarkEnd w:id="0"/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</w:pP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6F0D1D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 xml:space="preserve">Ejercicio </w:t>
      </w:r>
      <w:r w:rsidR="00472663">
        <w:t>2020</w:t>
      </w:r>
      <w:r>
        <w:t>, periodo</w:t>
      </w:r>
      <w:r w:rsidR="006F0D1D">
        <w:t xml:space="preserve"> tercer trimestre.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1F7D20" w:rsidRDefault="001F7D20" w:rsidP="008C1BB7">
      <w:pPr>
        <w:pStyle w:val="Prrafodelista"/>
        <w:numPr>
          <w:ilvl w:val="0"/>
          <w:numId w:val="4"/>
        </w:numPr>
        <w:jc w:val="both"/>
      </w:pPr>
      <w:r>
        <w:t>Presentar la declaración y pago provisional mensual de retenciones del Impuesto Sobre la Renta (ISR) por Asimilados a salarios.</w:t>
      </w:r>
    </w:p>
    <w:p w:rsidR="001F7D20" w:rsidRDefault="001F7D20" w:rsidP="001F7D20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del Impuesto Sobre la Renta (ISR) por </w:t>
      </w:r>
      <w:r w:rsidRPr="001F7D20">
        <w:t>pagos por cuenta de terceros o retenciones por arrendamiento de inmuebles</w:t>
      </w:r>
      <w:r w:rsidR="00E65C31">
        <w:t>.</w:t>
      </w:r>
    </w:p>
    <w:p w:rsidR="008C1BB7" w:rsidRDefault="008C1BB7" w:rsidP="00C712A6">
      <w:pPr>
        <w:pStyle w:val="Prrafodelista"/>
        <w:jc w:val="both"/>
      </w:pP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</w:t>
      </w:r>
      <w:r w:rsidR="00835549">
        <w:t xml:space="preserve"> y tanto declaración de </w:t>
      </w:r>
      <w:r w:rsidR="00C712A6">
        <w:t xml:space="preserve">impuesto sobre nómina </w:t>
      </w:r>
      <w:r w:rsidR="00835549">
        <w:t xml:space="preserve">e impuesto cedular por arrendamiento </w:t>
      </w:r>
      <w:r w:rsidR="00C712A6">
        <w:t>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CC6B4A" w:rsidP="00C712A6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153225</wp:posOffset>
            </wp:positionV>
            <wp:extent cx="4788838" cy="36961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838" cy="3696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2A6" w:rsidRPr="00C712A6">
        <w:rPr>
          <w:b/>
        </w:rPr>
        <w:t>Estructura organizacional básica</w:t>
      </w:r>
    </w:p>
    <w:p w:rsidR="0065523D" w:rsidRDefault="0065523D" w:rsidP="00CC6B4A">
      <w:pPr>
        <w:tabs>
          <w:tab w:val="left" w:pos="5375"/>
        </w:tabs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993090" w:rsidP="005E6F01">
      <w:pPr>
        <w:rPr>
          <w:b/>
        </w:rPr>
      </w:pPr>
      <w:r>
        <w:rPr>
          <w:b/>
        </w:rPr>
        <w:t>S</w:t>
      </w:r>
      <w:r w:rsidR="005E6F01" w:rsidRPr="005E6F01">
        <w:rPr>
          <w:b/>
        </w:rPr>
        <w:t>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 xml:space="preserve">de Protección </w:t>
      </w:r>
      <w:proofErr w:type="spellStart"/>
      <w:r w:rsidR="002422BB">
        <w:t>Social</w:t>
      </w:r>
      <w:r>
        <w:t>en</w:t>
      </w:r>
      <w:proofErr w:type="spellEnd"/>
      <w:r>
        <w:t xml:space="preserve">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D57C27" w:rsidRDefault="00D57C27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472663">
        <w:t>3</w:t>
      </w:r>
      <w:r w:rsidR="006F0D1D">
        <w:t>0</w:t>
      </w:r>
      <w:r w:rsidR="00E65C31">
        <w:t xml:space="preserve"> de </w:t>
      </w:r>
      <w:r w:rsidR="006F0D1D">
        <w:t>septiembre</w:t>
      </w:r>
      <w:r w:rsidR="00993090">
        <w:t xml:space="preserve"> de </w:t>
      </w:r>
      <w:r w:rsidR="00472663">
        <w:t>2020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8F7F11" w:rsidRDefault="0018166C" w:rsidP="008F7F11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8F7F11" w:rsidRDefault="008F7F11" w:rsidP="007C5535">
      <w:pPr>
        <w:jc w:val="center"/>
      </w:pPr>
    </w:p>
    <w:p w:rsidR="00B36972" w:rsidRDefault="00B36972" w:rsidP="00993090">
      <w:pPr>
        <w:jc w:val="center"/>
      </w:pPr>
    </w:p>
    <w:p w:rsidR="00F06BD4" w:rsidRPr="00F06BD4" w:rsidRDefault="00F06BD4" w:rsidP="00835549">
      <w:pPr>
        <w:jc w:val="center"/>
        <w:rPr>
          <w:b/>
        </w:rPr>
      </w:pPr>
      <w:r w:rsidRPr="00F06BD4">
        <w:rPr>
          <w:b/>
        </w:rPr>
        <w:lastRenderedPageBreak/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6F0D1D" w:rsidRDefault="006F0D1D" w:rsidP="006F0D1D">
      <w:pPr>
        <w:jc w:val="both"/>
      </w:pPr>
      <w:r>
        <w:t>E</w:t>
      </w:r>
      <w:r w:rsidRPr="006F0D1D">
        <w:t>l 3 de marzo de 2020</w:t>
      </w:r>
      <w:r>
        <w:t xml:space="preserve"> se publicó </w:t>
      </w:r>
      <w:r w:rsidRPr="006F0D1D">
        <w:t xml:space="preserve">en el Periódico Oficial del Gobierno del Estado de Guanajuato número 45, segunda parte, </w:t>
      </w:r>
      <w:r>
        <w:t xml:space="preserve">el </w:t>
      </w:r>
      <w:r w:rsidRPr="006F0D1D">
        <w:t>Decreto Gubernativo número 43, a través del cual se extingue el organismo público descentralizado de la Administración Pública Estatal denominado &lt;&lt;Régimen de Protección Social en Salud del Estado de Guanajuato&gt;&gt;.</w:t>
      </w:r>
    </w:p>
    <w:p w:rsidR="006F0D1D" w:rsidRDefault="006F0D1D" w:rsidP="00F06BD4">
      <w:pPr>
        <w:jc w:val="both"/>
      </w:pPr>
    </w:p>
    <w:p w:rsidR="006F0D1D" w:rsidRDefault="006F0D1D" w:rsidP="00F06BD4">
      <w:pPr>
        <w:jc w:val="both"/>
      </w:pPr>
    </w:p>
    <w:p w:rsidR="006F0D1D" w:rsidRDefault="006F0D1D" w:rsidP="00F06BD4">
      <w:pPr>
        <w:jc w:val="both"/>
      </w:pPr>
    </w:p>
    <w:p w:rsidR="008F7F11" w:rsidRDefault="006F0D1D" w:rsidP="00F06BD4">
      <w:pPr>
        <w:jc w:val="both"/>
      </w:pPr>
      <w:r>
        <w:t>“Bajo protesta de decir verdad declaramos que los Estados Financieros y sus notas, son razonablemente correctos y son responsabilidad del emisor.”</w:t>
      </w:r>
    </w:p>
    <w:p w:rsidR="0066597D" w:rsidRDefault="0066597D" w:rsidP="00F06BD4">
      <w:pPr>
        <w:jc w:val="both"/>
      </w:pPr>
    </w:p>
    <w:p w:rsidR="00B36972" w:rsidRDefault="00B36972" w:rsidP="00CC6B4A">
      <w:pPr>
        <w:jc w:val="center"/>
      </w:pPr>
    </w:p>
    <w:sectPr w:rsidR="00B36972" w:rsidSect="00212A03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F6" w:rsidRDefault="002E0EF6" w:rsidP="00B67E92">
      <w:pPr>
        <w:spacing w:after="0" w:line="240" w:lineRule="auto"/>
      </w:pPr>
      <w:r>
        <w:separator/>
      </w:r>
    </w:p>
  </w:endnote>
  <w:endnote w:type="continuationSeparator" w:id="0">
    <w:p w:rsidR="002E0EF6" w:rsidRDefault="002E0EF6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03" w:rsidRDefault="00212A03">
    <w:pPr>
      <w:pStyle w:val="Piedepgina"/>
      <w:jc w:val="right"/>
    </w:pPr>
  </w:p>
  <w:p w:rsidR="00DE0242" w:rsidRDefault="00DE0242" w:rsidP="00DE0242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F6" w:rsidRDefault="002E0EF6" w:rsidP="00B67E92">
      <w:pPr>
        <w:spacing w:after="0" w:line="240" w:lineRule="auto"/>
      </w:pPr>
      <w:r>
        <w:separator/>
      </w:r>
    </w:p>
  </w:footnote>
  <w:footnote w:type="continuationSeparator" w:id="0">
    <w:p w:rsidR="002E0EF6" w:rsidRDefault="002E0EF6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D159D"/>
    <w:rsid w:val="000250FD"/>
    <w:rsid w:val="00032EDC"/>
    <w:rsid w:val="000574C1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1F7D20"/>
    <w:rsid w:val="00211469"/>
    <w:rsid w:val="00212A03"/>
    <w:rsid w:val="002201EA"/>
    <w:rsid w:val="002260C2"/>
    <w:rsid w:val="002422BB"/>
    <w:rsid w:val="00245353"/>
    <w:rsid w:val="00273F1A"/>
    <w:rsid w:val="0028474E"/>
    <w:rsid w:val="00291F40"/>
    <w:rsid w:val="002C4957"/>
    <w:rsid w:val="002E0D6B"/>
    <w:rsid w:val="002E0EF6"/>
    <w:rsid w:val="003630BF"/>
    <w:rsid w:val="00364238"/>
    <w:rsid w:val="00384DAB"/>
    <w:rsid w:val="00414C66"/>
    <w:rsid w:val="00434F15"/>
    <w:rsid w:val="00456C24"/>
    <w:rsid w:val="00472663"/>
    <w:rsid w:val="004864EB"/>
    <w:rsid w:val="004E3C27"/>
    <w:rsid w:val="00520991"/>
    <w:rsid w:val="00547CF3"/>
    <w:rsid w:val="00575931"/>
    <w:rsid w:val="005E6F01"/>
    <w:rsid w:val="00600BC5"/>
    <w:rsid w:val="006206D3"/>
    <w:rsid w:val="006511A2"/>
    <w:rsid w:val="0065523D"/>
    <w:rsid w:val="00656930"/>
    <w:rsid w:val="0066597D"/>
    <w:rsid w:val="006C468E"/>
    <w:rsid w:val="006D4E1E"/>
    <w:rsid w:val="006F0D1D"/>
    <w:rsid w:val="006F3BF5"/>
    <w:rsid w:val="00721DAA"/>
    <w:rsid w:val="00756F63"/>
    <w:rsid w:val="00767DCE"/>
    <w:rsid w:val="007735BF"/>
    <w:rsid w:val="007B623E"/>
    <w:rsid w:val="007C4194"/>
    <w:rsid w:val="007C5535"/>
    <w:rsid w:val="00804108"/>
    <w:rsid w:val="00804FCE"/>
    <w:rsid w:val="00835549"/>
    <w:rsid w:val="00837297"/>
    <w:rsid w:val="008C1A37"/>
    <w:rsid w:val="008C1BB7"/>
    <w:rsid w:val="008F7F11"/>
    <w:rsid w:val="00924A43"/>
    <w:rsid w:val="00926ED7"/>
    <w:rsid w:val="0094051B"/>
    <w:rsid w:val="0095502B"/>
    <w:rsid w:val="009728EA"/>
    <w:rsid w:val="009921A3"/>
    <w:rsid w:val="00993090"/>
    <w:rsid w:val="00993AFB"/>
    <w:rsid w:val="009D5C60"/>
    <w:rsid w:val="00A95688"/>
    <w:rsid w:val="00AD3340"/>
    <w:rsid w:val="00AF5DB8"/>
    <w:rsid w:val="00B01AC7"/>
    <w:rsid w:val="00B36972"/>
    <w:rsid w:val="00B67E92"/>
    <w:rsid w:val="00B83202"/>
    <w:rsid w:val="00B91EC8"/>
    <w:rsid w:val="00BA2420"/>
    <w:rsid w:val="00BB02D7"/>
    <w:rsid w:val="00C113D5"/>
    <w:rsid w:val="00C11EC1"/>
    <w:rsid w:val="00C15593"/>
    <w:rsid w:val="00C25374"/>
    <w:rsid w:val="00C31F56"/>
    <w:rsid w:val="00C469BF"/>
    <w:rsid w:val="00C677AC"/>
    <w:rsid w:val="00C712A6"/>
    <w:rsid w:val="00C831A8"/>
    <w:rsid w:val="00CA65CB"/>
    <w:rsid w:val="00CB2638"/>
    <w:rsid w:val="00CC6B4A"/>
    <w:rsid w:val="00CD159D"/>
    <w:rsid w:val="00CE0347"/>
    <w:rsid w:val="00D23E4A"/>
    <w:rsid w:val="00D2550E"/>
    <w:rsid w:val="00D53804"/>
    <w:rsid w:val="00D57C27"/>
    <w:rsid w:val="00D64231"/>
    <w:rsid w:val="00D74994"/>
    <w:rsid w:val="00D8267E"/>
    <w:rsid w:val="00DE0242"/>
    <w:rsid w:val="00DE3864"/>
    <w:rsid w:val="00E622F6"/>
    <w:rsid w:val="00E65C31"/>
    <w:rsid w:val="00EB41DE"/>
    <w:rsid w:val="00EC5DCE"/>
    <w:rsid w:val="00F06BD4"/>
    <w:rsid w:val="00F43026"/>
    <w:rsid w:val="00F562E4"/>
    <w:rsid w:val="00F93117"/>
    <w:rsid w:val="00FB1260"/>
    <w:rsid w:val="00FF718D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1549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Usuario</cp:lastModifiedBy>
  <cp:revision>3</cp:revision>
  <cp:lastPrinted>2020-10-29T22:03:00Z</cp:lastPrinted>
  <dcterms:created xsi:type="dcterms:W3CDTF">2020-10-29T21:16:00Z</dcterms:created>
  <dcterms:modified xsi:type="dcterms:W3CDTF">2020-10-29T22:03:00Z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