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bookmarkStart w:id="0" w:name="_GoBack"/>
      <w:bookmarkEnd w:id="0"/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D23E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14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proofErr w:type="spellStart"/>
      <w:r w:rsidRPr="00AF5DB8">
        <w:rPr>
          <w:lang w:eastAsia="es-MX"/>
        </w:rPr>
        <w:t>Solidaridad</w:t>
      </w:r>
      <w:r w:rsidR="00032EDC">
        <w:rPr>
          <w:lang w:eastAsia="es-MX"/>
        </w:rPr>
        <w:t>z</w:t>
      </w:r>
      <w:proofErr w:type="spellEnd"/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D23E4A" w:rsidP="00D23E4A">
      <w:pPr>
        <w:jc w:val="center"/>
      </w:pPr>
      <w:r w:rsidRPr="00D23E4A">
        <w:t>Página 15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D23E4A" w:rsidP="00D23E4A">
      <w:pPr>
        <w:jc w:val="center"/>
      </w:pPr>
      <w:r>
        <w:t>Página 16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 xml:space="preserve">Ejercicio 2016, periodo: </w:t>
      </w:r>
      <w:r w:rsidR="00F93117">
        <w:t>Marzo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2422BB" w:rsidRPr="00D23E4A" w:rsidRDefault="00D23E4A" w:rsidP="00C712A6">
      <w:pPr>
        <w:jc w:val="center"/>
      </w:pPr>
      <w:r w:rsidRPr="00D23E4A">
        <w:t>Página 17</w:t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AF5DB8" w:rsidP="00C712A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42F9FFDF" wp14:editId="0BD9D679">
            <wp:extent cx="5612130" cy="3175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C712A6" w:rsidP="00C712A6">
      <w:pPr>
        <w:rPr>
          <w:b/>
        </w:rPr>
      </w:pPr>
    </w:p>
    <w:p w:rsidR="00211469" w:rsidRDefault="00211469" w:rsidP="005E6F01">
      <w:pPr>
        <w:jc w:val="center"/>
        <w:rPr>
          <w:b/>
        </w:rPr>
      </w:pPr>
    </w:p>
    <w:p w:rsidR="00211469" w:rsidRPr="00D23E4A" w:rsidRDefault="00211469" w:rsidP="005E6F01">
      <w:pPr>
        <w:jc w:val="center"/>
      </w:pPr>
    </w:p>
    <w:p w:rsidR="00D23E4A" w:rsidRPr="00D23E4A" w:rsidRDefault="00D23E4A" w:rsidP="00D23E4A">
      <w:pPr>
        <w:jc w:val="center"/>
      </w:pPr>
      <w:r>
        <w:t>Página 18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D23E4A" w:rsidP="00D23E4A">
      <w:pPr>
        <w:jc w:val="center"/>
      </w:pPr>
      <w:r>
        <w:t>Página 19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D23E4A" w:rsidP="00D23E4A">
      <w:pPr>
        <w:jc w:val="center"/>
      </w:pPr>
      <w:r>
        <w:t>Página 20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F93117">
        <w:t xml:space="preserve">31 de marzo </w:t>
      </w:r>
      <w:r>
        <w:t>de 2</w:t>
      </w:r>
      <w:r w:rsidR="00D23E4A">
        <w:t>016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AD3340" w:rsidRPr="00D23E4A" w:rsidRDefault="00D23E4A" w:rsidP="00D23E4A">
      <w:pPr>
        <w:jc w:val="center"/>
      </w:pPr>
      <w:r w:rsidRPr="00D23E4A">
        <w:t>Página 21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6"/>
      </w:tblGrid>
      <w:tr w:rsidR="00AD3340" w:rsidRPr="00AD3340" w:rsidTr="00F93117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8"/>
              <w:gridCol w:w="1888"/>
              <w:gridCol w:w="1888"/>
              <w:gridCol w:w="1728"/>
              <w:gridCol w:w="2454"/>
            </w:tblGrid>
            <w:tr w:rsidR="00F93117" w:rsidRPr="00F93117" w:rsidTr="00F93117">
              <w:trPr>
                <w:trHeight w:val="300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 xml:space="preserve">Concepto 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single" w:sz="4" w:space="0" w:color="FFFFFF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 xml:space="preserve"> Cargos 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single" w:sz="4" w:space="0" w:color="FFFFFF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 xml:space="preserve"> Abonos 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FFFFFF"/>
                    <w:bottom w:val="single" w:sz="12" w:space="0" w:color="FFFFFF"/>
                    <w:right w:val="single" w:sz="4" w:space="0" w:color="FFFFFF"/>
                  </w:tcBorders>
                  <w:shd w:val="clear" w:color="4F81BD" w:fill="4F81BD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 xml:space="preserve"> Saldo Final </w:t>
                  </w:r>
                </w:p>
              </w:tc>
              <w:tc>
                <w:tcPr>
                  <w:tcW w:w="2454" w:type="dxa"/>
                  <w:tcBorders>
                    <w:top w:val="nil"/>
                    <w:left w:val="single" w:sz="4" w:space="0" w:color="FFFFFF"/>
                    <w:bottom w:val="single" w:sz="12" w:space="0" w:color="FFFFFF"/>
                    <w:right w:val="nil"/>
                  </w:tcBorders>
                  <w:shd w:val="clear" w:color="4F81BD" w:fill="4F81BD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es-MX"/>
                    </w:rPr>
                    <w:t xml:space="preserve"> Variación del Periodo </w:t>
                  </w:r>
                </w:p>
              </w:tc>
            </w:tr>
            <w:tr w:rsidR="00F93117" w:rsidRPr="00F93117" w:rsidTr="00F93117">
              <w:trPr>
                <w:trHeight w:val="300"/>
              </w:trPr>
              <w:tc>
                <w:tcPr>
                  <w:tcW w:w="4248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Efectivo y Equivalentes </w:t>
                  </w:r>
                </w:p>
              </w:tc>
              <w:tc>
                <w:tcPr>
                  <w:tcW w:w="18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1,589,330,545.99 </w:t>
                  </w:r>
                </w:p>
              </w:tc>
              <w:tc>
                <w:tcPr>
                  <w:tcW w:w="18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1,288,909,369.94 </w:t>
                  </w:r>
                </w:p>
              </w:tc>
              <w:tc>
                <w:tcPr>
                  <w:tcW w:w="17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B8CCE4" w:fill="B8CCE4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300,421,176.05 </w:t>
                  </w:r>
                </w:p>
              </w:tc>
              <w:tc>
                <w:tcPr>
                  <w:tcW w:w="2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B8CCE4" w:fill="B8CCE4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                300,421,176.05 </w:t>
                  </w:r>
                </w:p>
              </w:tc>
            </w:tr>
            <w:tr w:rsidR="00F93117" w:rsidRPr="00F93117" w:rsidTr="00F93117">
              <w:trPr>
                <w:trHeight w:val="300"/>
              </w:trPr>
              <w:tc>
                <w:tcPr>
                  <w:tcW w:w="4248" w:type="dxa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  <w:shd w:val="clear" w:color="DCE6F1" w:fill="DCE6F1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Derechos a Recibir Efectivo o Equivalentes </w:t>
                  </w:r>
                </w:p>
              </w:tc>
              <w:tc>
                <w:tcPr>
                  <w:tcW w:w="1888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DCE6F1" w:fill="DCE6F1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2,175,912,290.31 </w:t>
                  </w:r>
                </w:p>
              </w:tc>
              <w:tc>
                <w:tcPr>
                  <w:tcW w:w="1888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DCE6F1" w:fill="DCE6F1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1,770,482,443.55 </w:t>
                  </w:r>
                </w:p>
              </w:tc>
              <w:tc>
                <w:tcPr>
                  <w:tcW w:w="1728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DCE6F1" w:fill="DCE6F1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405,429,846.76 </w:t>
                  </w:r>
                </w:p>
              </w:tc>
              <w:tc>
                <w:tcPr>
                  <w:tcW w:w="2454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:rsidR="00F93117" w:rsidRPr="00F93117" w:rsidRDefault="00F93117" w:rsidP="00F9311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F93117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 xml:space="preserve"> $                  405,429,846.76 </w:t>
                  </w:r>
                </w:p>
              </w:tc>
            </w:tr>
          </w:tbl>
          <w:p w:rsidR="00AD3340" w:rsidRPr="00AD3340" w:rsidRDefault="00AD3340" w:rsidP="00AD33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D3340" w:rsidRPr="00AD3340" w:rsidTr="00F93117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340" w:rsidRPr="00AD3340" w:rsidRDefault="00AD3340" w:rsidP="00AD33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D3340" w:rsidRPr="00AD3340" w:rsidTr="00F93117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340" w:rsidRPr="00AD3340" w:rsidRDefault="00AD3340" w:rsidP="00AD33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D3340" w:rsidRPr="00AD3340" w:rsidTr="00F93117">
        <w:trPr>
          <w:trHeight w:val="300"/>
        </w:trPr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340" w:rsidRPr="00AD3340" w:rsidRDefault="00AD3340" w:rsidP="00AD33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9D5C60" w:rsidRPr="00F06BD4" w:rsidRDefault="009D5C60" w:rsidP="00F06BD4">
      <w:pPr>
        <w:rPr>
          <w:b/>
        </w:rPr>
      </w:pPr>
    </w:p>
    <w:p w:rsidR="00F06BD4" w:rsidRPr="00F06BD4" w:rsidRDefault="00F06BD4" w:rsidP="00F06BD4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F06BD4" w:rsidRPr="00F06BD4" w:rsidRDefault="00107D29" w:rsidP="00F06BD4">
      <w:pPr>
        <w:jc w:val="both"/>
        <w:rPr>
          <w:b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A048FD" wp14:editId="441D0A52">
            <wp:simplePos x="0" y="0"/>
            <wp:positionH relativeFrom="column">
              <wp:posOffset>-242570</wp:posOffset>
            </wp:positionH>
            <wp:positionV relativeFrom="paragraph">
              <wp:posOffset>716280</wp:posOffset>
            </wp:positionV>
            <wp:extent cx="9039225" cy="885190"/>
            <wp:effectExtent l="0" t="0" r="9525" b="0"/>
            <wp:wrapSquare wrapText="bothSides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D4"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p w:rsidR="001A0FAA" w:rsidRPr="00D23E4A" w:rsidRDefault="00D23E4A" w:rsidP="00D23E4A">
      <w:pPr>
        <w:ind w:left="708" w:hanging="708"/>
        <w:jc w:val="center"/>
      </w:pPr>
      <w:r w:rsidRPr="00D23E4A">
        <w:t>Página 2</w:t>
      </w:r>
      <w:r>
        <w:t>2</w:t>
      </w:r>
    </w:p>
    <w:sectPr w:rsidR="001A0FAA" w:rsidRPr="00D23E4A" w:rsidSect="00032EDC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7A" w:rsidRDefault="00826B7A" w:rsidP="00B67E92">
      <w:pPr>
        <w:spacing w:after="0" w:line="240" w:lineRule="auto"/>
      </w:pPr>
      <w:r>
        <w:separator/>
      </w:r>
    </w:p>
  </w:endnote>
  <w:endnote w:type="continuationSeparator" w:id="0">
    <w:p w:rsidR="00826B7A" w:rsidRDefault="00826B7A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7A" w:rsidRDefault="00826B7A" w:rsidP="00B67E92">
      <w:pPr>
        <w:spacing w:after="0" w:line="240" w:lineRule="auto"/>
      </w:pPr>
      <w:r>
        <w:separator/>
      </w:r>
    </w:p>
  </w:footnote>
  <w:footnote w:type="continuationSeparator" w:id="0">
    <w:p w:rsidR="00826B7A" w:rsidRDefault="00826B7A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107D29"/>
    <w:rsid w:val="0018166C"/>
    <w:rsid w:val="001A0FAA"/>
    <w:rsid w:val="001A5371"/>
    <w:rsid w:val="00211469"/>
    <w:rsid w:val="002260C2"/>
    <w:rsid w:val="002422BB"/>
    <w:rsid w:val="00245353"/>
    <w:rsid w:val="00384DAB"/>
    <w:rsid w:val="00414C66"/>
    <w:rsid w:val="00456C24"/>
    <w:rsid w:val="00520991"/>
    <w:rsid w:val="00547CF3"/>
    <w:rsid w:val="005E6F01"/>
    <w:rsid w:val="006206D3"/>
    <w:rsid w:val="00721DAA"/>
    <w:rsid w:val="00756F63"/>
    <w:rsid w:val="007735BF"/>
    <w:rsid w:val="007B623E"/>
    <w:rsid w:val="00826B7A"/>
    <w:rsid w:val="00837297"/>
    <w:rsid w:val="008C1BB7"/>
    <w:rsid w:val="008F5C34"/>
    <w:rsid w:val="009921A3"/>
    <w:rsid w:val="009D5C60"/>
    <w:rsid w:val="00AD3340"/>
    <w:rsid w:val="00AF5DB8"/>
    <w:rsid w:val="00B67E92"/>
    <w:rsid w:val="00C469BF"/>
    <w:rsid w:val="00C677AC"/>
    <w:rsid w:val="00C712A6"/>
    <w:rsid w:val="00C831A8"/>
    <w:rsid w:val="00CD159D"/>
    <w:rsid w:val="00D23E4A"/>
    <w:rsid w:val="00D64231"/>
    <w:rsid w:val="00DE3864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1537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2</cp:revision>
  <cp:lastPrinted>2016-04-25T19:16:00Z</cp:lastPrinted>
  <dcterms:created xsi:type="dcterms:W3CDTF">2017-06-28T17:58:00Z</dcterms:created>
  <dcterms:modified xsi:type="dcterms:W3CDTF">2017-06-28T17:58:00Z</dcterms:modified>
</cp:coreProperties>
</file>