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61E" w:rsidRDefault="005C74A9" w:rsidP="001F55D9">
      <w:pPr>
        <w:tabs>
          <w:tab w:val="left" w:pos="6804"/>
        </w:tabs>
        <w:jc w:val="center"/>
      </w:pPr>
      <w:bookmarkStart w:id="0" w:name="_GoBack"/>
      <w:bookmarkEnd w:id="0"/>
      <w:r>
        <w:rPr>
          <w:noProof/>
          <w:szCs w:val="20"/>
          <w:lang w:val="es-MX" w:eastAsia="es-MX"/>
        </w:rPr>
        <w:t xml:space="preserve"> </w:t>
      </w:r>
      <w:bookmarkStart w:id="1" w:name="_Hlk124265935"/>
    </w:p>
    <w:p w:rsidR="001F55D9" w:rsidRPr="00E74967" w:rsidRDefault="007C4173" w:rsidP="001F55D9">
      <w:pPr>
        <w:tabs>
          <w:tab w:val="left" w:pos="6804"/>
        </w:tabs>
        <w:jc w:val="center"/>
        <w:rPr>
          <w:rFonts w:cs="Calibri"/>
          <w:b/>
          <w:sz w:val="28"/>
          <w:szCs w:val="28"/>
        </w:rPr>
      </w:pPr>
      <w:hyperlink r:id="rId8" w:history="1">
        <w:r w:rsidR="001F55D9" w:rsidRPr="00E74967">
          <w:rPr>
            <w:rStyle w:val="Hipervnculo"/>
            <w:rFonts w:cs="Calibri"/>
            <w:b/>
            <w:sz w:val="28"/>
            <w:szCs w:val="28"/>
          </w:rPr>
          <w:t>NOTAS DE GESTIÓN ADMINISTRATIVA</w:t>
        </w:r>
      </w:hyperlink>
    </w:p>
    <w:p w:rsidR="001F55D9" w:rsidRDefault="001F55D9" w:rsidP="001F55D9">
      <w:pPr>
        <w:jc w:val="both"/>
        <w:rPr>
          <w:rFonts w:cs="Calibri"/>
        </w:rPr>
      </w:pPr>
    </w:p>
    <w:p w:rsidR="001F55D9" w:rsidRDefault="001F55D9" w:rsidP="001F55D9">
      <w:pPr>
        <w:jc w:val="center"/>
        <w:rPr>
          <w:rStyle w:val="Hipervnculo"/>
          <w:rFonts w:cs="Calibri"/>
          <w:b/>
          <w:sz w:val="28"/>
          <w:szCs w:val="28"/>
        </w:rPr>
      </w:pPr>
      <w:r w:rsidRPr="008E6B1B">
        <w:rPr>
          <w:rStyle w:val="Hipervnculo"/>
          <w:rFonts w:cs="Calibri"/>
          <w:b/>
          <w:sz w:val="28"/>
          <w:szCs w:val="28"/>
        </w:rPr>
        <w:t xml:space="preserve">AL </w:t>
      </w:r>
      <w:r w:rsidR="008E6B1B" w:rsidRPr="008E6B1B">
        <w:rPr>
          <w:rStyle w:val="Hipervnculo"/>
          <w:rFonts w:cs="Calibri"/>
          <w:b/>
          <w:sz w:val="28"/>
          <w:szCs w:val="28"/>
        </w:rPr>
        <w:t>SEGUNDO</w:t>
      </w:r>
      <w:r w:rsidRPr="008E6B1B">
        <w:rPr>
          <w:rStyle w:val="Hipervnculo"/>
          <w:rFonts w:cs="Calibri"/>
          <w:b/>
          <w:sz w:val="28"/>
          <w:szCs w:val="28"/>
        </w:rPr>
        <w:t xml:space="preserve"> TRIMESTRE DE 202</w:t>
      </w:r>
      <w:r w:rsidR="00F3761E" w:rsidRPr="008E6B1B">
        <w:rPr>
          <w:rStyle w:val="Hipervnculo"/>
          <w:rFonts w:cs="Calibri"/>
          <w:b/>
          <w:sz w:val="28"/>
          <w:szCs w:val="28"/>
        </w:rPr>
        <w:t>5</w:t>
      </w:r>
    </w:p>
    <w:p w:rsidR="00F3761E" w:rsidRPr="00641410" w:rsidRDefault="00F3761E" w:rsidP="001F55D9">
      <w:pPr>
        <w:jc w:val="center"/>
        <w:rPr>
          <w:rStyle w:val="Hipervnculo"/>
          <w:rFonts w:cs="Calibri"/>
          <w:b/>
          <w:sz w:val="28"/>
          <w:szCs w:val="28"/>
        </w:rPr>
      </w:pPr>
    </w:p>
    <w:p w:rsidR="001F55D9" w:rsidRDefault="001F55D9" w:rsidP="001F55D9">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r w:rsidRPr="006E394E">
        <w:rPr>
          <w:rFonts w:ascii="Arial" w:hAnsi="Arial" w:cs="Arial"/>
          <w:b/>
          <w:sz w:val="20"/>
          <w:szCs w:val="20"/>
        </w:rPr>
        <w:t xml:space="preserve">1. </w:t>
      </w:r>
      <w:r>
        <w:rPr>
          <w:rFonts w:ascii="Arial" w:hAnsi="Arial" w:cs="Arial"/>
          <w:b/>
          <w:sz w:val="20"/>
          <w:szCs w:val="20"/>
        </w:rPr>
        <w:t>Autorización e Historia</w:t>
      </w:r>
      <w:r w:rsidRPr="006E394E">
        <w:rPr>
          <w:rFonts w:ascii="Arial" w:hAnsi="Arial" w:cs="Arial"/>
          <w:b/>
          <w:sz w:val="20"/>
          <w:szCs w:val="20"/>
        </w:rPr>
        <w:t>:</w:t>
      </w:r>
    </w:p>
    <w:p w:rsidR="001F55D9"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1F55D9" w:rsidRPr="006E394E" w:rsidRDefault="001F55D9" w:rsidP="001F55D9">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1F55D9"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w:t>
      </w:r>
      <w:r w:rsidRPr="006E394E">
        <w:rPr>
          <w:rFonts w:ascii="Arial" w:hAnsi="Arial" w:cs="Arial"/>
          <w:sz w:val="20"/>
          <w:szCs w:val="20"/>
        </w:rPr>
        <w:lastRenderedPageBreak/>
        <w:t>Interior del ISAPEG, en virtud de que dicha unidad administrativa se extinguió cuando quedó constituido el organismo público descentralizado que asumió sus funciones.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Pr>
          <w:rFonts w:ascii="Arial" w:hAnsi="Arial" w:cs="Arial"/>
          <w:sz w:val="20"/>
          <w:szCs w:val="20"/>
        </w:rPr>
        <w:t>Nuevo Reglamento Interior del Instituto de Salud Pública del Estado de Guanajuato, emitido mediante el Decreto Gubernativo No. 153 y publicado en el Periódico Oficial del Estado de Guanajuato el 07 de diciembre de 2023.</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 xml:space="preserve">2. </w:t>
      </w:r>
      <w:r>
        <w:rPr>
          <w:rFonts w:ascii="Arial" w:hAnsi="Arial" w:cs="Arial"/>
          <w:b/>
          <w:sz w:val="20"/>
          <w:szCs w:val="20"/>
        </w:rPr>
        <w:t>Describir el Panorama</w:t>
      </w:r>
      <w:r w:rsidRPr="006E394E">
        <w:rPr>
          <w:rFonts w:ascii="Arial" w:hAnsi="Arial" w:cs="Arial"/>
          <w:b/>
          <w:sz w:val="20"/>
          <w:szCs w:val="20"/>
        </w:rPr>
        <w:t xml:space="preserve"> Económico y Financiero:</w:t>
      </w:r>
      <w:r>
        <w:rPr>
          <w:rFonts w:ascii="Arial" w:hAnsi="Arial" w:cs="Arial"/>
          <w:b/>
          <w:sz w:val="20"/>
          <w:szCs w:val="20"/>
        </w:rPr>
        <w:t xml:space="preserve"> </w:t>
      </w:r>
    </w:p>
    <w:p w:rsidR="001F55D9" w:rsidRDefault="001F55D9" w:rsidP="001F55D9">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y en su lugar, se crea el Instituto de Salud para el Bienestar.</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 xml:space="preserve">así lo </w:t>
      </w:r>
      <w:r w:rsidRPr="00936AA7">
        <w:rPr>
          <w:rFonts w:ascii="Arial" w:hAnsi="Arial" w:cs="Arial"/>
          <w:sz w:val="20"/>
          <w:szCs w:val="20"/>
        </w:rPr>
        <w:lastRenderedPageBreak/>
        <w:t>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1F55D9" w:rsidRDefault="001F55D9" w:rsidP="001F55D9">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r w:rsidR="000520B6">
        <w:rPr>
          <w:rFonts w:ascii="Arial" w:hAnsi="Arial" w:cs="Arial"/>
          <w:sz w:val="20"/>
          <w:szCs w:val="20"/>
        </w:rPr>
        <w:t xml:space="preserve"> Posteriormente, el 07 de febrero de 2024, se firma el Acuerdo de Coordinación celebrado entre "IMSS-BIENESTAR" y el Estado de Guanajuato para la prestación gratuita de servicios de salud, medicamentos y demás insumos asociados para las personas sin seguridad social a que se refiere el Título Tercero Bis, de la Ley General de Salud.</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3</w:t>
      </w:r>
      <w:r w:rsidRPr="006E394E">
        <w:rPr>
          <w:rFonts w:ascii="Arial" w:hAnsi="Arial" w:cs="Arial"/>
          <w:b/>
          <w:sz w:val="20"/>
          <w:szCs w:val="20"/>
        </w:rPr>
        <w:t>. Organización y Objeto Social:</w:t>
      </w:r>
    </w:p>
    <w:p w:rsidR="001F55D9"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Default="001F55D9" w:rsidP="001F55D9">
      <w:pPr>
        <w:jc w:val="both"/>
        <w:rPr>
          <w:rFonts w:ascii="Arial" w:hAnsi="Arial" w:cs="Arial"/>
          <w:sz w:val="20"/>
          <w:szCs w:val="20"/>
        </w:rPr>
      </w:pPr>
    </w:p>
    <w:p w:rsidR="001F55D9" w:rsidRPr="006E394E" w:rsidRDefault="001F55D9" w:rsidP="001F55D9">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1F55D9" w:rsidRPr="006E394E" w:rsidRDefault="001F55D9" w:rsidP="001F55D9">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1F55D9" w:rsidRPr="006E394E" w:rsidRDefault="001F55D9" w:rsidP="001F55D9">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1F55D9" w:rsidRPr="006E394E" w:rsidRDefault="001F55D9" w:rsidP="001F55D9">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F55D9" w:rsidRDefault="001F55D9" w:rsidP="001F55D9">
      <w:pPr>
        <w:jc w:val="both"/>
        <w:rPr>
          <w:rFonts w:ascii="Arial" w:hAnsi="Arial" w:cs="Arial"/>
          <w:b/>
          <w:sz w:val="20"/>
          <w:szCs w:val="20"/>
        </w:rPr>
      </w:pPr>
    </w:p>
    <w:p w:rsidR="001F55D9" w:rsidRPr="00D21344" w:rsidRDefault="001F55D9" w:rsidP="001F55D9">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1F55D9" w:rsidRPr="006E394E" w:rsidRDefault="001F55D9" w:rsidP="001F55D9">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sidR="00DA2F4F">
        <w:rPr>
          <w:rFonts w:ascii="Arial" w:hAnsi="Arial" w:cs="Arial"/>
          <w:sz w:val="20"/>
          <w:szCs w:val="20"/>
        </w:rPr>
        <w:t>5</w:t>
      </w:r>
      <w:r w:rsidRPr="00D21344">
        <w:rPr>
          <w:rFonts w:ascii="Arial" w:hAnsi="Arial" w:cs="Arial"/>
          <w:sz w:val="20"/>
          <w:szCs w:val="20"/>
        </w:rPr>
        <w:t>.</w:t>
      </w:r>
    </w:p>
    <w:p w:rsidR="001F55D9" w:rsidRPr="006E394E"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1F55D9" w:rsidRPr="006E394E" w:rsidRDefault="001F55D9" w:rsidP="001F55D9">
      <w:pPr>
        <w:jc w:val="both"/>
        <w:rPr>
          <w:rFonts w:ascii="Arial" w:hAnsi="Arial" w:cs="Arial"/>
          <w:sz w:val="20"/>
          <w:szCs w:val="20"/>
        </w:rPr>
      </w:pPr>
      <w:r w:rsidRPr="006E394E">
        <w:rPr>
          <w:rFonts w:ascii="Arial" w:hAnsi="Arial" w:cs="Arial"/>
          <w:sz w:val="20"/>
          <w:szCs w:val="20"/>
        </w:rPr>
        <w:t>Régimen de las Personas Morales con Fines no Lucrativos.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1F55D9" w:rsidRPr="006E394E" w:rsidRDefault="001F55D9" w:rsidP="001F55D9">
      <w:pPr>
        <w:jc w:val="both"/>
        <w:rPr>
          <w:rFonts w:ascii="Arial" w:hAnsi="Arial" w:cs="Arial"/>
          <w:sz w:val="20"/>
          <w:szCs w:val="20"/>
        </w:rPr>
      </w:pPr>
      <w:r w:rsidRPr="006E394E">
        <w:rPr>
          <w:rFonts w:ascii="Arial" w:hAnsi="Arial" w:cs="Arial"/>
          <w:sz w:val="20"/>
          <w:szCs w:val="20"/>
        </w:rPr>
        <w:lastRenderedPageBreak/>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1F55D9" w:rsidRDefault="001F55D9" w:rsidP="001F55D9">
      <w:pPr>
        <w:jc w:val="both"/>
        <w:rPr>
          <w:rFonts w:ascii="Arial" w:hAnsi="Arial" w:cs="Arial"/>
          <w:sz w:val="20"/>
          <w:szCs w:val="20"/>
          <w:u w:val="single"/>
        </w:rPr>
      </w:pP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1F55D9" w:rsidRPr="006E394E"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1F55D9" w:rsidRDefault="001F55D9" w:rsidP="001F55D9">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1F55D9" w:rsidRPr="006E394E"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En relación a las obligaciones fiscales locales con la Secretaría de Finanzas, se tienen las siguientes:</w:t>
      </w:r>
    </w:p>
    <w:p w:rsidR="001F55D9" w:rsidRPr="006E394E" w:rsidRDefault="001F55D9" w:rsidP="001F55D9">
      <w:pPr>
        <w:jc w:val="both"/>
        <w:rPr>
          <w:rFonts w:ascii="Arial" w:hAnsi="Arial" w:cs="Arial"/>
          <w:sz w:val="20"/>
          <w:szCs w:val="20"/>
        </w:rPr>
      </w:pPr>
    </w:p>
    <w:p w:rsidR="001F55D9" w:rsidRPr="006E394E" w:rsidRDefault="001F55D9" w:rsidP="001F55D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1F55D9" w:rsidRPr="006E394E" w:rsidRDefault="001F55D9" w:rsidP="001F55D9">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1F55D9" w:rsidRPr="006E394E" w:rsidRDefault="001F55D9" w:rsidP="001F55D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1F55D9" w:rsidRPr="00BD32A2" w:rsidRDefault="001F55D9" w:rsidP="001F55D9">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1F55D9" w:rsidRPr="006E394E" w:rsidRDefault="001F55D9" w:rsidP="001F55D9">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1F55D9" w:rsidRDefault="001F55D9" w:rsidP="001F55D9">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1F55D9" w:rsidRPr="006E394E" w:rsidRDefault="001F55D9" w:rsidP="001F55D9">
      <w:pPr>
        <w:ind w:firstLine="708"/>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 Director General</w:t>
      </w:r>
    </w:p>
    <w:p w:rsidR="001F55D9" w:rsidRPr="006E394E" w:rsidRDefault="001F55D9" w:rsidP="001F55D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1F55D9" w:rsidRDefault="001F55D9" w:rsidP="001F55D9">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1F55D9" w:rsidRPr="006E394E"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Coordinación de Asuntos Jurídicos</w:t>
      </w:r>
    </w:p>
    <w:p w:rsidR="001F55D9"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 xml:space="preserve">Coordinación de </w:t>
      </w:r>
      <w:r w:rsidRPr="006E394E">
        <w:rPr>
          <w:rFonts w:ascii="Arial" w:hAnsi="Arial" w:cs="Arial"/>
          <w:i/>
          <w:sz w:val="20"/>
          <w:szCs w:val="20"/>
        </w:rPr>
        <w:t>Comunicación Social</w:t>
      </w:r>
    </w:p>
    <w:p w:rsidR="001F55D9" w:rsidRPr="006E394E" w:rsidRDefault="001F55D9" w:rsidP="001F55D9">
      <w:pPr>
        <w:pStyle w:val="Prrafodelista"/>
        <w:numPr>
          <w:ilvl w:val="1"/>
          <w:numId w:val="14"/>
        </w:numPr>
        <w:jc w:val="both"/>
        <w:rPr>
          <w:rFonts w:ascii="Arial" w:hAnsi="Arial" w:cs="Arial"/>
          <w:i/>
          <w:sz w:val="20"/>
          <w:szCs w:val="20"/>
        </w:rPr>
      </w:pPr>
      <w:r>
        <w:rPr>
          <w:rFonts w:ascii="Arial" w:hAnsi="Arial" w:cs="Arial"/>
          <w:i/>
          <w:sz w:val="20"/>
          <w:szCs w:val="20"/>
        </w:rPr>
        <w:t>Coordinación Estatal de Calidad</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II.- Coordinador General de Salud Pública</w:t>
      </w:r>
    </w:p>
    <w:p w:rsidR="001F55D9" w:rsidRPr="006E394E" w:rsidRDefault="001F55D9" w:rsidP="001F55D9">
      <w:pPr>
        <w:pStyle w:val="Prrafodelista"/>
        <w:numPr>
          <w:ilvl w:val="1"/>
          <w:numId w:val="20"/>
        </w:numPr>
        <w:jc w:val="both"/>
        <w:rPr>
          <w:rFonts w:ascii="Arial" w:hAnsi="Arial" w:cs="Arial"/>
          <w:i/>
          <w:sz w:val="20"/>
          <w:szCs w:val="20"/>
        </w:rPr>
      </w:pPr>
      <w:r w:rsidRPr="006E394E">
        <w:rPr>
          <w:rFonts w:ascii="Arial" w:hAnsi="Arial" w:cs="Arial"/>
          <w:i/>
          <w:sz w:val="20"/>
          <w:szCs w:val="20"/>
        </w:rPr>
        <w:t>Direc</w:t>
      </w:r>
      <w:r>
        <w:rPr>
          <w:rFonts w:ascii="Arial" w:hAnsi="Arial" w:cs="Arial"/>
          <w:i/>
          <w:sz w:val="20"/>
          <w:szCs w:val="20"/>
        </w:rPr>
        <w:t>ción</w:t>
      </w:r>
      <w:r w:rsidRPr="006E394E">
        <w:rPr>
          <w:rFonts w:ascii="Arial" w:hAnsi="Arial" w:cs="Arial"/>
          <w:i/>
          <w:sz w:val="20"/>
          <w:szCs w:val="20"/>
        </w:rPr>
        <w:t xml:space="preserve"> General de </w:t>
      </w:r>
      <w:r>
        <w:rPr>
          <w:rFonts w:ascii="Arial" w:hAnsi="Arial" w:cs="Arial"/>
          <w:i/>
          <w:sz w:val="20"/>
          <w:szCs w:val="20"/>
        </w:rPr>
        <w:t>Prevención y Promoción de la Salud</w:t>
      </w:r>
      <w:r w:rsidRPr="006E394E">
        <w:rPr>
          <w:rFonts w:ascii="Arial" w:hAnsi="Arial" w:cs="Arial"/>
          <w:i/>
          <w:sz w:val="20"/>
          <w:szCs w:val="20"/>
        </w:rPr>
        <w:t xml:space="preserve"> </w:t>
      </w:r>
    </w:p>
    <w:p w:rsidR="001F55D9" w:rsidRDefault="001F55D9" w:rsidP="001F55D9">
      <w:pPr>
        <w:pStyle w:val="Prrafodelista"/>
        <w:numPr>
          <w:ilvl w:val="1"/>
          <w:numId w:val="20"/>
        </w:numPr>
        <w:jc w:val="both"/>
        <w:rPr>
          <w:rFonts w:ascii="Arial" w:hAnsi="Arial" w:cs="Arial"/>
          <w:sz w:val="20"/>
          <w:szCs w:val="20"/>
        </w:rPr>
      </w:pPr>
      <w:r>
        <w:rPr>
          <w:rFonts w:ascii="Arial" w:hAnsi="Arial" w:cs="Arial"/>
          <w:sz w:val="20"/>
          <w:szCs w:val="20"/>
        </w:rPr>
        <w:t>Dirección General de Atención Médica</w:t>
      </w:r>
    </w:p>
    <w:p w:rsidR="001F55D9" w:rsidRDefault="001F55D9" w:rsidP="001F55D9">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III.- Coordinador General de Administración y Finanzas</w:t>
      </w:r>
    </w:p>
    <w:p w:rsidR="001F55D9" w:rsidRPr="00F23D86" w:rsidRDefault="001F55D9" w:rsidP="001F55D9">
      <w:pPr>
        <w:pStyle w:val="Prrafodelista"/>
        <w:numPr>
          <w:ilvl w:val="1"/>
          <w:numId w:val="15"/>
        </w:numPr>
        <w:jc w:val="both"/>
        <w:rPr>
          <w:rFonts w:ascii="Arial" w:hAnsi="Arial" w:cs="Arial"/>
          <w:sz w:val="20"/>
          <w:szCs w:val="20"/>
        </w:rPr>
      </w:pPr>
      <w:r w:rsidRPr="006E394E">
        <w:rPr>
          <w:rFonts w:ascii="Arial" w:hAnsi="Arial" w:cs="Arial"/>
          <w:i/>
          <w:sz w:val="20"/>
          <w:szCs w:val="20"/>
        </w:rPr>
        <w:t>Director General de Planeación</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Administración</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Recursos Humanos</w:t>
      </w:r>
    </w:p>
    <w:p w:rsidR="001F55D9" w:rsidRPr="00F23D86" w:rsidRDefault="001F55D9" w:rsidP="001F55D9">
      <w:pPr>
        <w:pStyle w:val="Prrafodelista"/>
        <w:numPr>
          <w:ilvl w:val="1"/>
          <w:numId w:val="15"/>
        </w:numPr>
        <w:jc w:val="both"/>
        <w:rPr>
          <w:rFonts w:ascii="Arial" w:hAnsi="Arial" w:cs="Arial"/>
          <w:sz w:val="20"/>
          <w:szCs w:val="20"/>
        </w:rPr>
      </w:pPr>
      <w:r w:rsidRPr="00F23D86">
        <w:rPr>
          <w:rFonts w:ascii="Arial" w:hAnsi="Arial" w:cs="Arial"/>
          <w:i/>
          <w:sz w:val="20"/>
          <w:szCs w:val="20"/>
        </w:rPr>
        <w:t xml:space="preserve">Director General de </w:t>
      </w:r>
      <w:r>
        <w:rPr>
          <w:rFonts w:ascii="Arial" w:hAnsi="Arial" w:cs="Arial"/>
          <w:i/>
          <w:sz w:val="20"/>
          <w:szCs w:val="20"/>
        </w:rPr>
        <w:t>Recursos Materiales y Servicios Generales</w:t>
      </w:r>
    </w:p>
    <w:p w:rsidR="001F55D9" w:rsidRPr="00F23D86" w:rsidRDefault="001F55D9" w:rsidP="001F55D9">
      <w:pPr>
        <w:pStyle w:val="Prrafodelista"/>
        <w:numPr>
          <w:ilvl w:val="1"/>
          <w:numId w:val="15"/>
        </w:numPr>
        <w:jc w:val="both"/>
        <w:rPr>
          <w:rFonts w:ascii="Arial" w:hAnsi="Arial" w:cs="Arial"/>
          <w:sz w:val="20"/>
          <w:szCs w:val="20"/>
        </w:rPr>
      </w:pPr>
      <w:r>
        <w:rPr>
          <w:rFonts w:ascii="Arial" w:hAnsi="Arial" w:cs="Arial"/>
          <w:sz w:val="20"/>
          <w:szCs w:val="20"/>
        </w:rPr>
        <w:lastRenderedPageBreak/>
        <w:t>Dirección de Servicios Subrogados Médicos</w:t>
      </w:r>
    </w:p>
    <w:p w:rsidR="001F55D9" w:rsidRDefault="001F55D9" w:rsidP="001F55D9">
      <w:pPr>
        <w:pStyle w:val="Prrafodelista"/>
        <w:ind w:left="360"/>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I</w:t>
      </w: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Territorio</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IV</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VII</w:t>
      </w:r>
    </w:p>
    <w:p w:rsidR="001F55D9" w:rsidRPr="00F23D86" w:rsidRDefault="001F55D9" w:rsidP="001F55D9">
      <w:pPr>
        <w:pStyle w:val="Prrafodelista"/>
        <w:numPr>
          <w:ilvl w:val="1"/>
          <w:numId w:val="23"/>
        </w:numPr>
        <w:jc w:val="both"/>
        <w:rPr>
          <w:rFonts w:ascii="Arial" w:hAnsi="Arial" w:cs="Arial"/>
          <w:sz w:val="20"/>
          <w:szCs w:val="20"/>
        </w:rPr>
      </w:pPr>
      <w:r>
        <w:rPr>
          <w:rFonts w:ascii="Arial" w:hAnsi="Arial" w:cs="Arial"/>
          <w:i/>
          <w:sz w:val="20"/>
          <w:szCs w:val="20"/>
        </w:rPr>
        <w:t>Jurisdicción Sanitaria VIII</w:t>
      </w:r>
    </w:p>
    <w:p w:rsidR="001F55D9"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Función</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i/>
          <w:sz w:val="20"/>
          <w:szCs w:val="20"/>
        </w:rPr>
        <w:t>Hospitales Generales</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i/>
          <w:sz w:val="20"/>
          <w:szCs w:val="20"/>
        </w:rPr>
        <w:t>Hospitales de especialidad</w:t>
      </w:r>
    </w:p>
    <w:p w:rsidR="001F55D9" w:rsidRDefault="001F55D9" w:rsidP="001F55D9">
      <w:pPr>
        <w:pStyle w:val="Prrafodelista"/>
        <w:numPr>
          <w:ilvl w:val="1"/>
          <w:numId w:val="24"/>
        </w:numPr>
        <w:jc w:val="both"/>
        <w:rPr>
          <w:rFonts w:ascii="Arial" w:hAnsi="Arial" w:cs="Arial"/>
          <w:sz w:val="20"/>
          <w:szCs w:val="20"/>
        </w:rPr>
      </w:pPr>
      <w:r>
        <w:rPr>
          <w:rFonts w:ascii="Arial" w:hAnsi="Arial" w:cs="Arial"/>
          <w:sz w:val="20"/>
          <w:szCs w:val="20"/>
        </w:rPr>
        <w:t>Unidades de apoyo</w:t>
      </w:r>
    </w:p>
    <w:p w:rsidR="001F55D9" w:rsidRPr="00F23D86" w:rsidRDefault="001F55D9" w:rsidP="001F55D9">
      <w:pPr>
        <w:pStyle w:val="Prrafodelista"/>
        <w:numPr>
          <w:ilvl w:val="1"/>
          <w:numId w:val="24"/>
        </w:numPr>
        <w:jc w:val="both"/>
        <w:rPr>
          <w:rFonts w:ascii="Arial" w:hAnsi="Arial" w:cs="Arial"/>
          <w:sz w:val="20"/>
          <w:szCs w:val="20"/>
        </w:rPr>
      </w:pPr>
      <w:r>
        <w:rPr>
          <w:rFonts w:ascii="Arial" w:hAnsi="Arial" w:cs="Arial"/>
          <w:sz w:val="20"/>
          <w:szCs w:val="20"/>
        </w:rPr>
        <w:t>Hospitales comunitarios</w:t>
      </w:r>
    </w:p>
    <w:p w:rsidR="001F55D9" w:rsidRPr="00F23D86" w:rsidRDefault="001F55D9" w:rsidP="001F55D9">
      <w:pPr>
        <w:pStyle w:val="Prrafodelista"/>
        <w:jc w:val="both"/>
        <w:rPr>
          <w:rFonts w:ascii="Arial" w:hAnsi="Arial" w:cs="Arial"/>
          <w:sz w:val="20"/>
          <w:szCs w:val="20"/>
        </w:rPr>
      </w:pPr>
    </w:p>
    <w:p w:rsidR="001F55D9" w:rsidRDefault="001F55D9" w:rsidP="001F55D9">
      <w:pPr>
        <w:pStyle w:val="Prrafodelista"/>
        <w:ind w:left="360"/>
        <w:jc w:val="both"/>
        <w:rPr>
          <w:rFonts w:ascii="Arial" w:hAnsi="Arial" w:cs="Arial"/>
          <w:b/>
          <w:sz w:val="20"/>
          <w:szCs w:val="20"/>
        </w:rPr>
      </w:pPr>
    </w:p>
    <w:p w:rsidR="001F55D9" w:rsidRDefault="001F55D9" w:rsidP="001F55D9">
      <w:pPr>
        <w:jc w:val="both"/>
        <w:rPr>
          <w:rFonts w:ascii="Arial" w:hAnsi="Arial" w:cs="Arial"/>
          <w:b/>
          <w:sz w:val="20"/>
          <w:szCs w:val="20"/>
        </w:rPr>
      </w:pPr>
      <w:r>
        <w:rPr>
          <w:rFonts w:ascii="Arial" w:hAnsi="Arial" w:cs="Arial"/>
          <w:b/>
          <w:sz w:val="20"/>
          <w:szCs w:val="20"/>
        </w:rPr>
        <w:t>VI</w:t>
      </w:r>
      <w:r w:rsidRPr="006E394E">
        <w:rPr>
          <w:rFonts w:ascii="Arial" w:hAnsi="Arial" w:cs="Arial"/>
          <w:b/>
          <w:sz w:val="20"/>
          <w:szCs w:val="20"/>
        </w:rPr>
        <w:t xml:space="preserve">.- </w:t>
      </w:r>
      <w:r>
        <w:rPr>
          <w:rFonts w:ascii="Arial" w:hAnsi="Arial" w:cs="Arial"/>
          <w:b/>
          <w:sz w:val="20"/>
          <w:szCs w:val="20"/>
        </w:rPr>
        <w:t>Órganos Interno de Control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b/>
          <w:sz w:val="20"/>
          <w:szCs w:val="20"/>
        </w:rPr>
      </w:pPr>
      <w:r>
        <w:rPr>
          <w:rFonts w:ascii="Arial" w:hAnsi="Arial" w:cs="Arial"/>
          <w:b/>
          <w:sz w:val="20"/>
          <w:szCs w:val="20"/>
        </w:rPr>
        <w:t>4</w:t>
      </w:r>
      <w:r w:rsidRPr="006E394E">
        <w:rPr>
          <w:rFonts w:ascii="Arial" w:hAnsi="Arial" w:cs="Arial"/>
          <w:b/>
          <w:sz w:val="20"/>
          <w:szCs w:val="20"/>
        </w:rPr>
        <w:t>. Bases de Preparación de los Estados Financieros: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1F55D9" w:rsidRDefault="001F55D9" w:rsidP="001F55D9">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 xml:space="preserve">uato, correspondientes al </w:t>
      </w:r>
      <w:r w:rsidR="008E6B1B">
        <w:rPr>
          <w:rFonts w:ascii="Arial" w:hAnsi="Arial" w:cs="Arial"/>
          <w:sz w:val="20"/>
          <w:szCs w:val="20"/>
        </w:rPr>
        <w:t>segundo</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lastRenderedPageBreak/>
        <w:t>El costo histórico de las operaciones corresponde al monto erogado para su adquisición conforme a la documentación contable original justificativa y comprobatoria.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IX.- Valuación.</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1F55D9" w:rsidRDefault="001F55D9" w:rsidP="001F55D9">
      <w:pPr>
        <w:jc w:val="both"/>
        <w:rPr>
          <w:rFonts w:ascii="Arial" w:hAnsi="Arial" w:cs="Arial"/>
          <w:sz w:val="20"/>
          <w:szCs w:val="20"/>
        </w:rPr>
      </w:pPr>
      <w:r w:rsidRPr="006E394E">
        <w:rPr>
          <w:rFonts w:ascii="Arial" w:hAnsi="Arial" w:cs="Arial"/>
          <w:sz w:val="20"/>
          <w:szCs w:val="20"/>
        </w:rPr>
        <w:t>El Marco Conceptual de Contabilidad Gubernamental (MCCG), es la base del Sistema de Contabilidad Gubernamental del Instituto, constituyéndose en el referente teórico que define, delimita, interrelaciona e integra de forma lógico-deductiva sus objetivos y fundamentos. Además</w:t>
      </w:r>
      <w:r>
        <w:rPr>
          <w:rFonts w:ascii="Arial" w:hAnsi="Arial" w:cs="Arial"/>
          <w:sz w:val="20"/>
          <w:szCs w:val="20"/>
        </w:rPr>
        <w:t>,</w:t>
      </w:r>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Los Postulados Básicos de Contabilidad Gubernamental y el Sistema Electrónico de Contabilidad Gubernamental (SAP </w:t>
      </w:r>
      <w:r>
        <w:rPr>
          <w:rFonts w:ascii="Arial" w:hAnsi="Arial" w:cs="Arial"/>
          <w:sz w:val="20"/>
          <w:szCs w:val="20"/>
        </w:rPr>
        <w:t>S4/HANA</w:t>
      </w:r>
      <w:r w:rsidRPr="006E394E">
        <w:rPr>
          <w:rFonts w:ascii="Arial" w:hAnsi="Arial" w:cs="Arial"/>
          <w:sz w:val="20"/>
          <w:szCs w:val="20"/>
        </w:rPr>
        <w:t>) utilizado por el Instituto para el registro sistemático de las operaciones económicas, son piezas fundamentales del Marco Conceptual de Contabilidad Gubernamental.</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1F55D9" w:rsidRPr="006E394E" w:rsidRDefault="001F55D9" w:rsidP="001F55D9">
      <w:pPr>
        <w:jc w:val="both"/>
        <w:rPr>
          <w:rFonts w:ascii="Arial" w:hAnsi="Arial" w:cs="Arial"/>
          <w:sz w:val="20"/>
          <w:szCs w:val="20"/>
          <w:u w:val="single"/>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*Revelar las nuevas políticas de reconocimiento:</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*Plan de implementación:</w:t>
      </w:r>
    </w:p>
    <w:p w:rsidR="001F55D9" w:rsidRDefault="001F55D9" w:rsidP="001F55D9">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1F55D9" w:rsidRDefault="001F55D9" w:rsidP="001F55D9">
      <w:pPr>
        <w:jc w:val="both"/>
        <w:rPr>
          <w:rFonts w:ascii="Arial" w:hAnsi="Arial" w:cs="Arial"/>
          <w:sz w:val="20"/>
          <w:szCs w:val="20"/>
        </w:rPr>
      </w:pPr>
      <w:r w:rsidRPr="006E394E">
        <w:rPr>
          <w:rFonts w:ascii="Arial" w:hAnsi="Arial" w:cs="Arial"/>
          <w:sz w:val="20"/>
          <w:szCs w:val="20"/>
        </w:rPr>
        <w:lastRenderedPageBreak/>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5</w:t>
      </w:r>
      <w:r w:rsidRPr="006E394E">
        <w:rPr>
          <w:rFonts w:ascii="Arial" w:hAnsi="Arial" w:cs="Arial"/>
          <w:b/>
          <w:sz w:val="20"/>
          <w:szCs w:val="20"/>
        </w:rPr>
        <w:t>. Políticas de Contabilidad Significativas: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Reservas registradas en su contabilidad.</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Pr>
          <w:rFonts w:ascii="Arial" w:hAnsi="Arial" w:cs="Arial"/>
          <w:sz w:val="20"/>
          <w:szCs w:val="20"/>
        </w:rPr>
        <w:t>En el presente ejercicio se reciben insumos en especie en el Almacén.</w:t>
      </w:r>
    </w:p>
    <w:p w:rsidR="001F55D9" w:rsidRDefault="001F55D9" w:rsidP="001F55D9">
      <w:pPr>
        <w:jc w:val="both"/>
        <w:rPr>
          <w:rFonts w:ascii="Arial" w:hAnsi="Arial" w:cs="Arial"/>
          <w:sz w:val="20"/>
          <w:szCs w:val="20"/>
        </w:rPr>
      </w:pPr>
      <w:r w:rsidRPr="005A64CF">
        <w:rPr>
          <w:rFonts w:ascii="Arial" w:hAnsi="Arial" w:cs="Arial"/>
          <w:sz w:val="20"/>
          <w:szCs w:val="20"/>
        </w:rPr>
        <w:lastRenderedPageBreak/>
        <w:t>Así mismo, se modifica la estructura de las cuentas bancarias para el presente ejercicio.</w:t>
      </w:r>
    </w:p>
    <w:p w:rsidR="001F55D9" w:rsidRDefault="001F55D9" w:rsidP="001F55D9">
      <w:pPr>
        <w:jc w:val="both"/>
        <w:rPr>
          <w:rFonts w:ascii="Arial" w:hAnsi="Arial" w:cs="Arial"/>
          <w:sz w:val="20"/>
          <w:szCs w:val="20"/>
        </w:rPr>
      </w:pPr>
    </w:p>
    <w:p w:rsidR="001F55D9" w:rsidRPr="00DE64AF" w:rsidRDefault="001F55D9" w:rsidP="001F55D9">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1F55D9" w:rsidRPr="00DE64AF" w:rsidRDefault="001F55D9" w:rsidP="001F55D9">
      <w:pPr>
        <w:jc w:val="both"/>
        <w:rPr>
          <w:rFonts w:ascii="Arial" w:hAnsi="Arial" w:cs="Arial"/>
          <w:sz w:val="20"/>
          <w:szCs w:val="20"/>
        </w:rPr>
      </w:pPr>
      <w:r w:rsidRPr="00DE64AF">
        <w:rPr>
          <w:rFonts w:ascii="Arial" w:hAnsi="Arial" w:cs="Arial"/>
          <w:sz w:val="20"/>
          <w:szCs w:val="20"/>
        </w:rPr>
        <w:t>El Instituto al inicio del ejercicio solicita a la Secretaría de Finanzas, la autorización del presupuesto anual, razón por la cual no se contemplan cambios en los tipos de operaciones.</w:t>
      </w:r>
    </w:p>
    <w:p w:rsidR="001F55D9" w:rsidRPr="00DE64AF" w:rsidRDefault="001F55D9" w:rsidP="001F55D9">
      <w:pPr>
        <w:jc w:val="both"/>
        <w:rPr>
          <w:rFonts w:ascii="Arial" w:hAnsi="Arial" w:cs="Arial"/>
          <w:sz w:val="20"/>
          <w:szCs w:val="20"/>
        </w:rPr>
      </w:pPr>
    </w:p>
    <w:p w:rsidR="001F55D9" w:rsidRPr="00DE64AF" w:rsidRDefault="001F55D9" w:rsidP="001F55D9">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1F55D9" w:rsidRDefault="001F55D9" w:rsidP="001F55D9">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1F55D9" w:rsidRDefault="001F55D9" w:rsidP="001F55D9">
      <w:pPr>
        <w:jc w:val="both"/>
        <w:rPr>
          <w:rFonts w:ascii="Arial" w:hAnsi="Arial" w:cs="Arial"/>
          <w:sz w:val="20"/>
          <w:szCs w:val="20"/>
        </w:rPr>
      </w:pPr>
    </w:p>
    <w:p w:rsidR="00D22516" w:rsidRDefault="00613A39" w:rsidP="001F55D9">
      <w:pPr>
        <w:jc w:val="both"/>
        <w:rPr>
          <w:rFonts w:ascii="Arial" w:hAnsi="Arial" w:cs="Arial"/>
          <w:sz w:val="20"/>
          <w:szCs w:val="20"/>
        </w:rPr>
      </w:pPr>
      <w:r>
        <w:rPr>
          <w:rFonts w:ascii="Arial" w:hAnsi="Arial" w:cs="Arial"/>
          <w:sz w:val="20"/>
          <w:szCs w:val="20"/>
        </w:rPr>
        <w:t>En referencia a la "</w:t>
      </w:r>
      <w:r w:rsidRPr="00613A39">
        <w:rPr>
          <w:rFonts w:ascii="Arial" w:hAnsi="Arial" w:cs="Arial"/>
          <w:sz w:val="20"/>
          <w:szCs w:val="20"/>
        </w:rPr>
        <w:t>Conciliación entre los Ingresos Presupuestarios y Contables</w:t>
      </w:r>
      <w:r>
        <w:rPr>
          <w:rFonts w:ascii="Arial" w:hAnsi="Arial" w:cs="Arial"/>
          <w:sz w:val="20"/>
          <w:szCs w:val="20"/>
        </w:rPr>
        <w:t xml:space="preserve">" incluida dentro de las Notas de Gestión y de Memoria a diciembre de 2024, se registró en el renglón denominado "Total de Ingresos Contables" la cantidad de </w:t>
      </w:r>
      <w:r w:rsidR="00D22516">
        <w:rPr>
          <w:rFonts w:ascii="Arial" w:hAnsi="Arial" w:cs="Arial"/>
          <w:sz w:val="20"/>
          <w:szCs w:val="20"/>
        </w:rPr>
        <w:t>$</w:t>
      </w:r>
      <w:r>
        <w:rPr>
          <w:rFonts w:ascii="Arial" w:hAnsi="Arial" w:cs="Arial"/>
          <w:sz w:val="20"/>
          <w:szCs w:val="20"/>
        </w:rPr>
        <w:t>18,965,653,866, debiendo ser $18,965,486,077</w:t>
      </w:r>
      <w:r w:rsidR="00D22516">
        <w:rPr>
          <w:rFonts w:ascii="Arial" w:hAnsi="Arial" w:cs="Arial"/>
          <w:sz w:val="20"/>
          <w:szCs w:val="20"/>
        </w:rPr>
        <w:t>.</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6</w:t>
      </w:r>
      <w:r w:rsidRPr="006E394E">
        <w:rPr>
          <w:rFonts w:ascii="Arial" w:hAnsi="Arial" w:cs="Arial"/>
          <w:b/>
          <w:sz w:val="20"/>
          <w:szCs w:val="20"/>
        </w:rPr>
        <w:t>. Posición en Moneda Extranjera y Protección por Riesgo Cambiario:</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sobre: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7</w:t>
      </w:r>
      <w:r w:rsidRPr="006E394E">
        <w:rPr>
          <w:rFonts w:ascii="Arial" w:hAnsi="Arial" w:cs="Arial"/>
          <w:b/>
          <w:sz w:val="20"/>
          <w:szCs w:val="20"/>
        </w:rPr>
        <w:t>. Reporte Analítico del Activo: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Debe mostrar la siguiente información:</w:t>
      </w:r>
    </w:p>
    <w:p w:rsidR="001F55D9" w:rsidRPr="00F93F0E" w:rsidRDefault="001F55D9" w:rsidP="001F55D9">
      <w:pPr>
        <w:pStyle w:val="Prrafodelista"/>
        <w:numPr>
          <w:ilvl w:val="1"/>
          <w:numId w:val="19"/>
        </w:numPr>
        <w:jc w:val="both"/>
        <w:rPr>
          <w:rFonts w:ascii="Arial" w:hAnsi="Arial" w:cs="Arial"/>
          <w:sz w:val="20"/>
          <w:szCs w:val="20"/>
        </w:rPr>
      </w:pPr>
      <w:r w:rsidRPr="00F93F0E">
        <w:rPr>
          <w:rFonts w:ascii="Arial" w:hAnsi="Arial" w:cs="Arial"/>
          <w:sz w:val="20"/>
          <w:szCs w:val="20"/>
        </w:rPr>
        <w:t>Vida útil o porcentajes de depreciación, deterioro o amortización utilizados en los diferentes tipos de activos:</w:t>
      </w:r>
    </w:p>
    <w:p w:rsidR="001F55D9" w:rsidRPr="00F93F0E" w:rsidRDefault="001F55D9" w:rsidP="001F55D9">
      <w:pPr>
        <w:pStyle w:val="Prrafodelista"/>
        <w:jc w:val="both"/>
        <w:rPr>
          <w:rFonts w:ascii="Arial" w:hAnsi="Arial" w:cs="Arial"/>
          <w:sz w:val="20"/>
          <w:szCs w:val="20"/>
        </w:rPr>
      </w:pPr>
    </w:p>
    <w:p w:rsidR="001F55D9" w:rsidRPr="006E394E" w:rsidRDefault="001F55D9" w:rsidP="001F55D9">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1F55D9" w:rsidRPr="00FE4E32" w:rsidTr="001F55D9">
        <w:trPr>
          <w:trHeight w:val="900"/>
        </w:trPr>
        <w:tc>
          <w:tcPr>
            <w:tcW w:w="1128"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lastRenderedPageBreak/>
              <w:t>Tipo de Bien</w:t>
            </w:r>
          </w:p>
        </w:tc>
        <w:tc>
          <w:tcPr>
            <w:tcW w:w="1167"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1F55D9" w:rsidRPr="00FE4E32" w:rsidRDefault="001F55D9" w:rsidP="001F55D9">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1F55D9" w:rsidRPr="00FE4E32" w:rsidRDefault="001F55D9" w:rsidP="001F55D9">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1F55D9" w:rsidRPr="00FE4E32" w:rsidRDefault="001F55D9" w:rsidP="001F55D9">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F55D9" w:rsidRPr="00FE4E32" w:rsidTr="001F55D9">
        <w:trPr>
          <w:trHeight w:val="225"/>
        </w:trPr>
        <w:tc>
          <w:tcPr>
            <w:tcW w:w="1128" w:type="dxa"/>
            <w:shd w:val="clear" w:color="auto" w:fill="auto"/>
            <w:noWrap/>
            <w:vAlign w:val="bottom"/>
            <w:hideMark/>
          </w:tcPr>
          <w:p w:rsidR="001F55D9" w:rsidRPr="00FE4E32" w:rsidRDefault="001F55D9" w:rsidP="001F55D9">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1F55D9" w:rsidRPr="00FE4E32" w:rsidRDefault="001F55D9" w:rsidP="001F55D9">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F55D9" w:rsidRPr="00FE4E32" w:rsidRDefault="001F55D9" w:rsidP="001F55D9">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1F55D9" w:rsidRDefault="001F55D9" w:rsidP="001F55D9">
      <w:pPr>
        <w:jc w:val="both"/>
        <w:rPr>
          <w:rFonts w:cs="Calibri"/>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u w:val="single"/>
        </w:rPr>
      </w:pPr>
      <w:r w:rsidRPr="006E394E">
        <w:rPr>
          <w:rFonts w:ascii="Arial" w:hAnsi="Arial" w:cs="Arial"/>
          <w:sz w:val="20"/>
          <w:szCs w:val="20"/>
        </w:rPr>
        <w:t xml:space="preserve">El Instituto mantiene los porcentajes de depreciación de manera consistente en su sistema electrónico de contabilidad a partir del ejercicio 2011 que se implementaron en el Módulo de Activos Fijos de la Plataforma </w:t>
      </w:r>
      <w:r>
        <w:rPr>
          <w:rFonts w:ascii="Arial" w:hAnsi="Arial" w:cs="Arial"/>
          <w:sz w:val="20"/>
          <w:szCs w:val="20"/>
        </w:rPr>
        <w:t>SIAE (Sistema Integral de Administración Estatal).</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bienes inmovilizados.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1F55D9" w:rsidRPr="006E394E" w:rsidRDefault="001F55D9" w:rsidP="001F55D9">
      <w:pPr>
        <w:jc w:val="both"/>
        <w:rPr>
          <w:rFonts w:ascii="Arial" w:hAnsi="Arial" w:cs="Arial"/>
          <w:sz w:val="20"/>
          <w:szCs w:val="20"/>
        </w:rPr>
      </w:pPr>
      <w:r w:rsidRPr="009B4BDF">
        <w:rPr>
          <w:rFonts w:ascii="Arial" w:hAnsi="Arial" w:cs="Arial"/>
          <w:sz w:val="20"/>
          <w:szCs w:val="20"/>
        </w:rPr>
        <w:t>La Dirección de Control Patrimonial,</w:t>
      </w:r>
      <w:r w:rsidRPr="006E394E">
        <w:rPr>
          <w:rFonts w:ascii="Arial" w:hAnsi="Arial" w:cs="Arial"/>
          <w:sz w:val="20"/>
          <w:szCs w:val="20"/>
        </w:rPr>
        <w:t xml:space="preserve"> elabora las altas de los activos y la Dirección </w:t>
      </w:r>
      <w:r>
        <w:rPr>
          <w:rFonts w:ascii="Arial" w:hAnsi="Arial" w:cs="Arial"/>
          <w:sz w:val="20"/>
          <w:szCs w:val="20"/>
        </w:rPr>
        <w:t xml:space="preserve">General </w:t>
      </w:r>
      <w:r w:rsidRPr="006E394E">
        <w:rPr>
          <w:rFonts w:ascii="Arial" w:hAnsi="Arial" w:cs="Arial"/>
          <w:sz w:val="20"/>
          <w:szCs w:val="20"/>
        </w:rPr>
        <w:t>de Recursos Materiales y Servicios Generales emite los resguardos correspondientes, las unidades responsables realizan un inventario físico de los bienes muebles propiedad del Instituto una vez al año y lo reporta a la Dirección General de Recursos Materiales</w:t>
      </w:r>
      <w:r>
        <w:rPr>
          <w:rFonts w:ascii="Arial" w:hAnsi="Arial" w:cs="Arial"/>
          <w:sz w:val="20"/>
          <w:szCs w:val="20"/>
        </w:rPr>
        <w:t>,</w:t>
      </w:r>
      <w:r w:rsidRPr="006E394E">
        <w:rPr>
          <w:rFonts w:ascii="Arial" w:hAnsi="Arial" w:cs="Arial"/>
          <w:sz w:val="20"/>
          <w:szCs w:val="20"/>
        </w:rPr>
        <w:t xml:space="preserve"> Servicios Generales</w:t>
      </w:r>
      <w:r>
        <w:rPr>
          <w:rFonts w:ascii="Arial" w:hAnsi="Arial" w:cs="Arial"/>
          <w:sz w:val="20"/>
          <w:szCs w:val="20"/>
        </w:rPr>
        <w:t xml:space="preserve"> y Catastro de la Secretaría de Finanzas</w:t>
      </w:r>
      <w:r w:rsidRPr="006E394E">
        <w:rPr>
          <w:rFonts w:ascii="Arial" w:hAnsi="Arial" w:cs="Arial"/>
          <w:sz w:val="20"/>
          <w:szCs w:val="20"/>
        </w:rPr>
        <w:t>.</w:t>
      </w:r>
    </w:p>
    <w:p w:rsidR="001F55D9" w:rsidRPr="006E394E" w:rsidRDefault="001F55D9" w:rsidP="001F55D9">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valores.</w:t>
      </w:r>
    </w:p>
    <w:p w:rsidR="001F55D9" w:rsidRDefault="001F55D9"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F3761E" w:rsidRDefault="00F3761E" w:rsidP="001F55D9">
      <w:pPr>
        <w:jc w:val="both"/>
        <w:rPr>
          <w:rFonts w:ascii="Arial" w:hAnsi="Arial" w:cs="Arial"/>
          <w:b/>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8</w:t>
      </w:r>
      <w:r w:rsidRPr="006E394E">
        <w:rPr>
          <w:rFonts w:ascii="Arial" w:hAnsi="Arial" w:cs="Arial"/>
          <w:b/>
          <w:sz w:val="20"/>
          <w:szCs w:val="20"/>
        </w:rPr>
        <w:t>. Fideicomisos, Mandatos y Análogos:</w:t>
      </w:r>
    </w:p>
    <w:p w:rsidR="001F55D9" w:rsidRPr="006E394E" w:rsidRDefault="001F55D9" w:rsidP="001F55D9">
      <w:pPr>
        <w:jc w:val="both"/>
        <w:rPr>
          <w:rFonts w:ascii="Arial" w:hAnsi="Arial" w:cs="Arial"/>
          <w:sz w:val="20"/>
          <w:szCs w:val="20"/>
        </w:rPr>
      </w:pPr>
      <w:r w:rsidRPr="006E394E">
        <w:rPr>
          <w:rFonts w:ascii="Arial" w:hAnsi="Arial" w:cs="Arial"/>
          <w:sz w:val="20"/>
          <w:szCs w:val="20"/>
        </w:rPr>
        <w:t>Se deberá informar:</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Pr>
          <w:rFonts w:ascii="Arial" w:hAnsi="Arial" w:cs="Arial"/>
          <w:b/>
          <w:sz w:val="20"/>
          <w:szCs w:val="20"/>
        </w:rPr>
        <w:t>9</w:t>
      </w:r>
      <w:r w:rsidRPr="006E394E">
        <w:rPr>
          <w:rFonts w:ascii="Arial" w:hAnsi="Arial" w:cs="Arial"/>
          <w:b/>
          <w:sz w:val="20"/>
          <w:szCs w:val="20"/>
        </w:rPr>
        <w:t>. Reporte de la Recaudación:</w:t>
      </w:r>
    </w:p>
    <w:p w:rsidR="001F55D9" w:rsidRDefault="001F55D9" w:rsidP="001F55D9">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r w:rsidRPr="00BC47E3">
        <w:rPr>
          <w:rFonts w:ascii="Arial" w:hAnsi="Arial" w:cs="Arial"/>
          <w:sz w:val="20"/>
          <w:szCs w:val="20"/>
        </w:rPr>
        <w:lastRenderedPageBreak/>
        <w:t>Reporte de Ingresos Recibidos durante el Ejercicio:</w:t>
      </w:r>
    </w:p>
    <w:p w:rsidR="001F55D9" w:rsidRDefault="001F55D9" w:rsidP="001F55D9">
      <w:pPr>
        <w:pBdr>
          <w:bottom w:val="single" w:sz="12" w:space="0" w:color="auto"/>
        </w:pBdr>
        <w:jc w:val="both"/>
        <w:rPr>
          <w:rFonts w:ascii="Arial" w:hAnsi="Arial" w:cs="Arial"/>
          <w:sz w:val="20"/>
          <w:szCs w:val="20"/>
        </w:rPr>
      </w:pPr>
    </w:p>
    <w:p w:rsidR="001F55D9" w:rsidRDefault="001F5AD2" w:rsidP="001F55D9">
      <w:pPr>
        <w:pBdr>
          <w:bottom w:val="single" w:sz="12" w:space="0" w:color="auto"/>
        </w:pBdr>
        <w:jc w:val="both"/>
        <w:rPr>
          <w:rFonts w:ascii="Arial" w:hAnsi="Arial" w:cs="Arial"/>
          <w:sz w:val="20"/>
          <w:szCs w:val="20"/>
        </w:rPr>
      </w:pPr>
      <w:r w:rsidRPr="001F5AD2">
        <w:rPr>
          <w:noProof/>
        </w:rPr>
        <w:drawing>
          <wp:inline distT="0" distB="0" distL="0" distR="0">
            <wp:extent cx="6526051" cy="2594345"/>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6649" cy="2610484"/>
                    </a:xfrm>
                    <a:prstGeom prst="rect">
                      <a:avLst/>
                    </a:prstGeom>
                    <a:noFill/>
                    <a:ln>
                      <a:noFill/>
                    </a:ln>
                  </pic:spPr>
                </pic:pic>
              </a:graphicData>
            </a:graphic>
          </wp:inline>
        </w:drawing>
      </w:r>
    </w:p>
    <w:p w:rsidR="001F55D9" w:rsidRDefault="001F55D9" w:rsidP="001F55D9">
      <w:pPr>
        <w:pBdr>
          <w:bottom w:val="single" w:sz="12" w:space="0" w:color="auto"/>
        </w:pBd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1F55D9" w:rsidRDefault="001F55D9" w:rsidP="001F55D9">
      <w:pPr>
        <w:pBdr>
          <w:bottom w:val="single" w:sz="12" w:space="0" w:color="auto"/>
        </w:pBdr>
        <w:jc w:val="both"/>
        <w:rPr>
          <w:rFonts w:ascii="Arial" w:hAnsi="Arial" w:cs="Arial"/>
          <w:sz w:val="20"/>
          <w:szCs w:val="20"/>
        </w:rPr>
      </w:pPr>
    </w:p>
    <w:p w:rsidR="001F55D9" w:rsidRDefault="001F55D9" w:rsidP="001F55D9">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r>
        <w:rPr>
          <w:rFonts w:ascii="Arial" w:hAnsi="Arial" w:cs="Arial"/>
          <w:sz w:val="20"/>
          <w:szCs w:val="20"/>
        </w:rPr>
        <w:t>:</w:t>
      </w:r>
    </w:p>
    <w:p w:rsidR="001F55D9" w:rsidRDefault="001F5AD2" w:rsidP="001F55D9">
      <w:pPr>
        <w:pBdr>
          <w:bottom w:val="single" w:sz="12" w:space="0" w:color="auto"/>
        </w:pBdr>
        <w:jc w:val="both"/>
        <w:rPr>
          <w:rFonts w:ascii="Arial" w:hAnsi="Arial" w:cs="Arial"/>
          <w:sz w:val="20"/>
          <w:szCs w:val="20"/>
        </w:rPr>
      </w:pPr>
      <w:r w:rsidRPr="001F5AD2">
        <w:rPr>
          <w:noProof/>
        </w:rPr>
        <w:drawing>
          <wp:inline distT="0" distB="0" distL="0" distR="0">
            <wp:extent cx="7059575" cy="2594344"/>
            <wp:effectExtent l="0" t="0" r="825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6800" cy="2600674"/>
                    </a:xfrm>
                    <a:prstGeom prst="rect">
                      <a:avLst/>
                    </a:prstGeom>
                    <a:noFill/>
                    <a:ln>
                      <a:noFill/>
                    </a:ln>
                  </pic:spPr>
                </pic:pic>
              </a:graphicData>
            </a:graphic>
          </wp:inline>
        </w:drawing>
      </w:r>
    </w:p>
    <w:p w:rsidR="001F55D9" w:rsidRDefault="001F55D9" w:rsidP="001F55D9">
      <w:pPr>
        <w:pBdr>
          <w:bottom w:val="single" w:sz="12" w:space="0" w:color="auto"/>
        </w:pBdr>
        <w:jc w:val="both"/>
        <w:rPr>
          <w:rFonts w:ascii="Arial" w:hAnsi="Arial" w:cs="Arial"/>
          <w:sz w:val="20"/>
          <w:szCs w:val="20"/>
        </w:rPr>
      </w:pPr>
    </w:p>
    <w:p w:rsidR="00F3761E" w:rsidRDefault="00F3761E" w:rsidP="001F55D9">
      <w:pPr>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0</w:t>
      </w:r>
      <w:r w:rsidRPr="006E394E">
        <w:rPr>
          <w:rFonts w:ascii="Arial" w:hAnsi="Arial" w:cs="Arial"/>
          <w:b/>
          <w:sz w:val="20"/>
          <w:szCs w:val="20"/>
        </w:rPr>
        <w:t>. Información sobre la Deuda y el Reporte Analítico de la Deuda:</w:t>
      </w: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1F55D9" w:rsidRPr="006E394E" w:rsidRDefault="001F55D9" w:rsidP="001F55D9">
      <w:pPr>
        <w:jc w:val="both"/>
        <w:rPr>
          <w:rFonts w:ascii="Arial" w:hAnsi="Arial" w:cs="Arial"/>
          <w:sz w:val="20"/>
          <w:szCs w:val="20"/>
        </w:rPr>
      </w:pPr>
      <w:r w:rsidRPr="006E394E">
        <w:rPr>
          <w:rFonts w:ascii="Arial" w:hAnsi="Arial" w:cs="Arial"/>
          <w:sz w:val="20"/>
          <w:szCs w:val="20"/>
        </w:rPr>
        <w:t>El Instituto no está facultado para contraer deuda.</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1F55D9" w:rsidRPr="006E394E" w:rsidRDefault="001F55D9" w:rsidP="001F55D9">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1F55D9" w:rsidRDefault="001F55D9" w:rsidP="001F55D9">
      <w:pPr>
        <w:jc w:val="both"/>
        <w:rPr>
          <w:rFonts w:ascii="Arial" w:hAnsi="Arial" w:cs="Arial"/>
          <w:b/>
          <w:sz w:val="20"/>
          <w:szCs w:val="20"/>
        </w:rPr>
      </w:pPr>
    </w:p>
    <w:p w:rsidR="001F55D9" w:rsidRDefault="001F55D9" w:rsidP="001F55D9">
      <w:pPr>
        <w:jc w:val="both"/>
        <w:rPr>
          <w:rFonts w:ascii="Arial" w:hAnsi="Arial" w:cs="Arial"/>
          <w:b/>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1</w:t>
      </w:r>
      <w:r w:rsidRPr="006E394E">
        <w:rPr>
          <w:rFonts w:ascii="Arial" w:hAnsi="Arial" w:cs="Arial"/>
          <w:b/>
          <w:sz w:val="20"/>
          <w:szCs w:val="20"/>
        </w:rPr>
        <w:t>. Calificaciones otorgadas:</w:t>
      </w:r>
    </w:p>
    <w:p w:rsidR="001F55D9" w:rsidRPr="006E394E" w:rsidRDefault="001F55D9" w:rsidP="001F55D9">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1F55D9" w:rsidRPr="006E394E" w:rsidRDefault="001F55D9" w:rsidP="001F55D9">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2</w:t>
      </w:r>
      <w:r w:rsidRPr="006E394E">
        <w:rPr>
          <w:rFonts w:ascii="Arial" w:hAnsi="Arial" w:cs="Arial"/>
          <w:b/>
          <w:sz w:val="20"/>
          <w:szCs w:val="20"/>
        </w:rPr>
        <w:t>. Proceso de Mejora:</w:t>
      </w:r>
    </w:p>
    <w:p w:rsidR="001F55D9" w:rsidRPr="006E394E" w:rsidRDefault="001F55D9" w:rsidP="001F55D9">
      <w:pPr>
        <w:jc w:val="both"/>
        <w:rPr>
          <w:rFonts w:ascii="Arial" w:hAnsi="Arial" w:cs="Arial"/>
          <w:sz w:val="20"/>
          <w:szCs w:val="20"/>
        </w:rPr>
      </w:pPr>
      <w:r w:rsidRPr="006E394E">
        <w:rPr>
          <w:rFonts w:ascii="Arial" w:hAnsi="Arial" w:cs="Arial"/>
          <w:sz w:val="20"/>
          <w:szCs w:val="20"/>
        </w:rPr>
        <w:t>Se informará de:</w:t>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F55D9" w:rsidRPr="006E394E" w:rsidRDefault="001F55D9" w:rsidP="001F55D9">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1F55D9" w:rsidRPr="006E394E" w:rsidRDefault="001F55D9" w:rsidP="001F55D9">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1F55D9" w:rsidRPr="006E394E" w:rsidRDefault="00F3761E" w:rsidP="001F55D9">
      <w:pPr>
        <w:jc w:val="both"/>
        <w:rPr>
          <w:rFonts w:ascii="Arial" w:hAnsi="Arial" w:cs="Arial"/>
          <w:sz w:val="20"/>
          <w:szCs w:val="20"/>
        </w:rPr>
      </w:pPr>
      <w:r w:rsidRPr="006E394E">
        <w:rPr>
          <w:rFonts w:ascii="Arial" w:hAnsi="Arial" w:cs="Arial"/>
          <w:sz w:val="20"/>
          <w:szCs w:val="20"/>
        </w:rPr>
        <w:t xml:space="preserve">En el Programa de Gobierno del Poder Ejecutivo del Estado de Guanajuato, en </w:t>
      </w:r>
      <w:r>
        <w:rPr>
          <w:rFonts w:ascii="Arial" w:hAnsi="Arial" w:cs="Arial"/>
          <w:sz w:val="20"/>
          <w:szCs w:val="20"/>
        </w:rPr>
        <w:t xml:space="preserve">los temas estratégicos para Guanajuato 2025 y específicamente en el denominado "Servicios de Salud con Calidad y Calidez para toda la Población", se indica que es necesario la realización de un diagnóstico de las variables relacionadas y su situación actual, acompañada de un análisis tendencial y prospectivo a un horizonte de 25 años. </w:t>
      </w:r>
      <w:r w:rsidRPr="00BC70AA">
        <w:rPr>
          <w:rFonts w:ascii="Arial" w:hAnsi="Arial" w:cs="Arial"/>
          <w:sz w:val="20"/>
          <w:szCs w:val="20"/>
        </w:rPr>
        <w:t>Estos elementos de análisis permitirán establecer prioridades y objetivos sólidos para alcanzar la visión del desarrollo del estado propuesta para este mismo periodo</w:t>
      </w:r>
      <w:r w:rsidR="001F55D9" w:rsidRPr="006E394E">
        <w:rPr>
          <w:rFonts w:ascii="Arial" w:hAnsi="Arial" w:cs="Arial"/>
          <w:sz w:val="20"/>
          <w:szCs w:val="20"/>
        </w:rPr>
        <w:t>.</w:t>
      </w:r>
    </w:p>
    <w:p w:rsidR="001F55D9"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3</w:t>
      </w:r>
      <w:r w:rsidRPr="006E394E">
        <w:rPr>
          <w:rFonts w:ascii="Arial" w:hAnsi="Arial" w:cs="Arial"/>
          <w:b/>
          <w:sz w:val="20"/>
          <w:szCs w:val="20"/>
        </w:rPr>
        <w:t>. Información por Segmentos:</w:t>
      </w:r>
    </w:p>
    <w:p w:rsidR="001F55D9" w:rsidRDefault="001F55D9" w:rsidP="001F55D9">
      <w:pPr>
        <w:jc w:val="both"/>
        <w:rPr>
          <w:rFonts w:ascii="Arial" w:hAnsi="Arial" w:cs="Arial"/>
          <w:sz w:val="20"/>
          <w:szCs w:val="20"/>
        </w:rPr>
      </w:pPr>
      <w:r w:rsidRPr="006E394E">
        <w:rPr>
          <w:rFonts w:ascii="Arial" w:hAnsi="Arial" w:cs="Arial"/>
          <w:sz w:val="20"/>
          <w:szCs w:val="20"/>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w:t>
      </w:r>
      <w:r w:rsidRPr="006E394E">
        <w:rPr>
          <w:rFonts w:ascii="Arial" w:hAnsi="Arial" w:cs="Arial"/>
          <w:sz w:val="20"/>
          <w:szCs w:val="20"/>
        </w:rPr>
        <w:lastRenderedPageBreak/>
        <w:t>productos o servicios que maneja, de las diferentes áreas geográficas, de los grupos homogéneos con el objetivo de entender el desempeño del ente, evaluar mejor los riesgos y beneficios del mismo; y entenderlo como un todo y sus partes integrantes.</w:t>
      </w:r>
    </w:p>
    <w:p w:rsidR="001F55D9" w:rsidRPr="006E394E" w:rsidRDefault="001F55D9" w:rsidP="001F55D9">
      <w:pPr>
        <w:jc w:val="both"/>
        <w:rPr>
          <w:rFonts w:ascii="Arial" w:hAnsi="Arial" w:cs="Arial"/>
          <w:sz w:val="20"/>
          <w:szCs w:val="20"/>
        </w:rPr>
      </w:pPr>
    </w:p>
    <w:p w:rsidR="001F55D9" w:rsidRDefault="001F55D9" w:rsidP="001F55D9">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4</w:t>
      </w:r>
      <w:r w:rsidRPr="006E394E">
        <w:rPr>
          <w:rFonts w:ascii="Arial" w:hAnsi="Arial" w:cs="Arial"/>
          <w:b/>
          <w:sz w:val="20"/>
          <w:szCs w:val="20"/>
        </w:rPr>
        <w:t>. Eventos Posteriores al Cierre:</w:t>
      </w:r>
    </w:p>
    <w:p w:rsidR="001F55D9" w:rsidRDefault="001F55D9" w:rsidP="001F55D9">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5</w:t>
      </w:r>
      <w:r w:rsidRPr="006E394E">
        <w:rPr>
          <w:rFonts w:ascii="Arial" w:hAnsi="Arial" w:cs="Arial"/>
          <w:b/>
          <w:sz w:val="20"/>
          <w:szCs w:val="20"/>
        </w:rPr>
        <w:t>. Partes Relacionadas:</w:t>
      </w:r>
    </w:p>
    <w:p w:rsidR="001F55D9" w:rsidRDefault="001F55D9" w:rsidP="001F55D9">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1F55D9" w:rsidRDefault="001F55D9" w:rsidP="001F55D9">
      <w:pPr>
        <w:jc w:val="both"/>
        <w:rPr>
          <w:rFonts w:ascii="Arial" w:hAnsi="Arial" w:cs="Arial"/>
          <w:sz w:val="20"/>
          <w:szCs w:val="20"/>
        </w:rPr>
      </w:pPr>
    </w:p>
    <w:p w:rsidR="001F55D9" w:rsidRPr="006E394E" w:rsidRDefault="001F55D9" w:rsidP="001F55D9">
      <w:pPr>
        <w:jc w:val="both"/>
        <w:rPr>
          <w:rFonts w:ascii="Arial" w:hAnsi="Arial" w:cs="Arial"/>
          <w:sz w:val="20"/>
          <w:szCs w:val="20"/>
        </w:rPr>
      </w:pPr>
    </w:p>
    <w:p w:rsidR="001F55D9" w:rsidRPr="006E394E" w:rsidRDefault="001F55D9" w:rsidP="001F55D9">
      <w:pPr>
        <w:jc w:val="both"/>
        <w:rPr>
          <w:rFonts w:ascii="Arial" w:hAnsi="Arial" w:cs="Arial"/>
          <w:b/>
          <w:sz w:val="20"/>
          <w:szCs w:val="20"/>
        </w:rPr>
      </w:pPr>
      <w:r w:rsidRPr="006E394E">
        <w:rPr>
          <w:rFonts w:ascii="Arial" w:hAnsi="Arial" w:cs="Arial"/>
          <w:b/>
          <w:sz w:val="20"/>
          <w:szCs w:val="20"/>
        </w:rPr>
        <w:t>1</w:t>
      </w:r>
      <w:r>
        <w:rPr>
          <w:rFonts w:ascii="Arial" w:hAnsi="Arial" w:cs="Arial"/>
          <w:b/>
          <w:sz w:val="20"/>
          <w:szCs w:val="20"/>
        </w:rPr>
        <w:t>6</w:t>
      </w:r>
      <w:r w:rsidRPr="006E394E">
        <w:rPr>
          <w:rFonts w:ascii="Arial" w:hAnsi="Arial" w:cs="Arial"/>
          <w:b/>
          <w:sz w:val="20"/>
          <w:szCs w:val="20"/>
        </w:rPr>
        <w:t>. Responsabilidad Sobre la Presentación Razonable de la Información Contable:</w:t>
      </w:r>
    </w:p>
    <w:p w:rsidR="001F55D9" w:rsidRDefault="001F55D9" w:rsidP="001F55D9">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1F55D9" w:rsidRPr="006E394E" w:rsidRDefault="001F55D9" w:rsidP="001F55D9">
      <w:pPr>
        <w:jc w:val="both"/>
        <w:rPr>
          <w:rFonts w:ascii="Arial" w:hAnsi="Arial" w:cs="Arial"/>
          <w:sz w:val="20"/>
          <w:szCs w:val="20"/>
        </w:rPr>
      </w:pPr>
    </w:p>
    <w:p w:rsidR="001F55D9" w:rsidRDefault="001F55D9" w:rsidP="001F55D9">
      <w:r w:rsidRPr="006E394E">
        <w:rPr>
          <w:rFonts w:ascii="Arial" w:hAnsi="Arial" w:cs="Arial"/>
          <w:sz w:val="20"/>
          <w:szCs w:val="20"/>
        </w:rPr>
        <w:t xml:space="preserve">Los estados Financieros son firmados por </w:t>
      </w:r>
      <w:r>
        <w:rPr>
          <w:rFonts w:ascii="Arial" w:hAnsi="Arial" w:cs="Arial"/>
          <w:sz w:val="20"/>
          <w:szCs w:val="20"/>
        </w:rPr>
        <w:t xml:space="preserve">el responsable </w:t>
      </w:r>
      <w:r w:rsidRPr="006E394E">
        <w:rPr>
          <w:rFonts w:ascii="Arial" w:hAnsi="Arial" w:cs="Arial"/>
          <w:sz w:val="20"/>
          <w:szCs w:val="20"/>
        </w:rPr>
        <w:t>en apego a la normatividad vigente.</w:t>
      </w:r>
      <w:r w:rsidRPr="006E394E">
        <w:rPr>
          <w:rFonts w:ascii="Arial" w:hAnsi="Arial" w:cs="Arial"/>
          <w:sz w:val="20"/>
          <w:szCs w:val="20"/>
        </w:rPr>
        <w:cr/>
      </w:r>
    </w:p>
    <w:p w:rsidR="001F55D9" w:rsidRDefault="001F55D9" w:rsidP="001F55D9">
      <w:pPr>
        <w:jc w:val="both"/>
        <w:rPr>
          <w:rFonts w:ascii="Arial" w:hAnsi="Arial" w:cs="Arial"/>
          <w:sz w:val="20"/>
          <w:szCs w:val="20"/>
        </w:rPr>
      </w:pPr>
    </w:p>
    <w:p w:rsidR="001F55D9" w:rsidRPr="00A513A2" w:rsidRDefault="001F55D9" w:rsidP="001F55D9">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1F55D9" w:rsidRDefault="001F55D9" w:rsidP="001F55D9">
      <w:pPr>
        <w:jc w:val="both"/>
        <w:rPr>
          <w:rFonts w:cs="Calibri"/>
          <w:u w:val="single"/>
        </w:rPr>
      </w:pPr>
    </w:p>
    <w:p w:rsidR="001F55D9" w:rsidRDefault="001F55D9" w:rsidP="001F55D9">
      <w:pPr>
        <w:jc w:val="both"/>
        <w:rPr>
          <w:rFonts w:cs="Calibri"/>
          <w:u w:val="single"/>
        </w:rPr>
      </w:pPr>
    </w:p>
    <w:p w:rsidR="001F55D9" w:rsidRDefault="001F55D9" w:rsidP="001F55D9">
      <w:pPr>
        <w:jc w:val="both"/>
        <w:rPr>
          <w:rFonts w:cs="Calibri"/>
          <w:u w:val="single"/>
        </w:rPr>
      </w:pPr>
    </w:p>
    <w:p w:rsidR="001F55D9" w:rsidRDefault="00F3761E" w:rsidP="001F55D9">
      <w:pPr>
        <w:jc w:val="both"/>
        <w:rPr>
          <w:rFonts w:cs="Calibri"/>
          <w:u w:val="single"/>
        </w:rPr>
      </w:pPr>
      <w:r w:rsidRPr="001B63AB">
        <w:rPr>
          <w:noProof/>
        </w:rPr>
        <w:drawing>
          <wp:inline distT="0" distB="0" distL="0" distR="0" wp14:anchorId="184DA786" wp14:editId="7620800A">
            <wp:extent cx="8134350" cy="673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4350" cy="673100"/>
                    </a:xfrm>
                    <a:prstGeom prst="rect">
                      <a:avLst/>
                    </a:prstGeom>
                    <a:noFill/>
                    <a:ln>
                      <a:noFill/>
                    </a:ln>
                  </pic:spPr>
                </pic:pic>
              </a:graphicData>
            </a:graphic>
          </wp:inline>
        </w:drawing>
      </w:r>
    </w:p>
    <w:bookmarkEnd w:id="1"/>
    <w:p w:rsidR="001F55D9" w:rsidRDefault="001F55D9" w:rsidP="00AE73BC">
      <w:pPr>
        <w:tabs>
          <w:tab w:val="left" w:pos="6804"/>
        </w:tabs>
        <w:jc w:val="center"/>
        <w:rPr>
          <w:noProof/>
        </w:rPr>
      </w:pPr>
    </w:p>
    <w:sectPr w:rsidR="001F55D9" w:rsidSect="00810ACF">
      <w:headerReference w:type="even" r:id="rId12"/>
      <w:headerReference w:type="default" r:id="rId13"/>
      <w:footerReference w:type="even" r:id="rId14"/>
      <w:footerReference w:type="default" r:id="rId15"/>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98" w:rsidRDefault="004C0598" w:rsidP="00EA5418">
      <w:r>
        <w:separator/>
      </w:r>
    </w:p>
  </w:endnote>
  <w:endnote w:type="continuationSeparator" w:id="0">
    <w:p w:rsidR="004C0598" w:rsidRDefault="004C0598"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39" w:rsidRPr="001E3B9D" w:rsidRDefault="00613A39"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39" w:rsidRPr="00584484" w:rsidRDefault="00613A39"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98" w:rsidRDefault="004C0598" w:rsidP="00EA5418">
      <w:r>
        <w:separator/>
      </w:r>
    </w:p>
  </w:footnote>
  <w:footnote w:type="continuationSeparator" w:id="0">
    <w:p w:rsidR="004C0598" w:rsidRDefault="004C0598"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39" w:rsidRDefault="00613A39"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A39" w:rsidRPr="00584484" w:rsidRDefault="00613A3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613A39" w:rsidRPr="00410C0A" w:rsidRDefault="00613A39"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13A39" w:rsidRPr="00584484" w:rsidRDefault="00613A39"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8B3891" w:rsidRPr="00410C0A" w:rsidRDefault="008B3891"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8B3891" w:rsidRPr="00584484" w:rsidRDefault="008B3891"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A39" w:rsidRPr="00E9097D" w:rsidRDefault="00613A39"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8B3891" w:rsidRPr="00E9097D" w:rsidRDefault="008B3891"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2025</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39" w:rsidRPr="007D16CA" w:rsidRDefault="00613A39"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INSTITUTO DE SALUD PÚBLICA DEL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74A7F"/>
    <w:multiLevelType w:val="multilevel"/>
    <w:tmpl w:val="1D1063B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E60E04"/>
    <w:multiLevelType w:val="multilevel"/>
    <w:tmpl w:val="594C19B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D9256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3378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2"/>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1"/>
  </w:num>
  <w:num w:numId="9">
    <w:abstractNumId w:val="6"/>
  </w:num>
  <w:num w:numId="10">
    <w:abstractNumId w:val="14"/>
  </w:num>
  <w:num w:numId="11">
    <w:abstractNumId w:val="16"/>
  </w:num>
  <w:num w:numId="12">
    <w:abstractNumId w:val="20"/>
  </w:num>
  <w:num w:numId="13">
    <w:abstractNumId w:val="17"/>
  </w:num>
  <w:num w:numId="14">
    <w:abstractNumId w:val="4"/>
  </w:num>
  <w:num w:numId="15">
    <w:abstractNumId w:val="15"/>
  </w:num>
  <w:num w:numId="16">
    <w:abstractNumId w:val="3"/>
  </w:num>
  <w:num w:numId="17">
    <w:abstractNumId w:val="22"/>
  </w:num>
  <w:num w:numId="18">
    <w:abstractNumId w:val="10"/>
  </w:num>
  <w:num w:numId="19">
    <w:abstractNumId w:val="8"/>
  </w:num>
  <w:num w:numId="20">
    <w:abstractNumId w:val="7"/>
  </w:num>
  <w:num w:numId="21">
    <w:abstractNumId w:val="1"/>
  </w:num>
  <w:num w:numId="22">
    <w:abstractNumId w:val="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AEB"/>
    <w:rsid w:val="00003241"/>
    <w:rsid w:val="00006DA1"/>
    <w:rsid w:val="000164DB"/>
    <w:rsid w:val="00026D17"/>
    <w:rsid w:val="000300AF"/>
    <w:rsid w:val="00030434"/>
    <w:rsid w:val="00031801"/>
    <w:rsid w:val="00033FEC"/>
    <w:rsid w:val="000355E9"/>
    <w:rsid w:val="00037FE0"/>
    <w:rsid w:val="00040466"/>
    <w:rsid w:val="0004218E"/>
    <w:rsid w:val="00043CBE"/>
    <w:rsid w:val="00045203"/>
    <w:rsid w:val="0005062F"/>
    <w:rsid w:val="00051ECA"/>
    <w:rsid w:val="000520B6"/>
    <w:rsid w:val="00054908"/>
    <w:rsid w:val="00056042"/>
    <w:rsid w:val="00061038"/>
    <w:rsid w:val="000616E8"/>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3A2A"/>
    <w:rsid w:val="000C4654"/>
    <w:rsid w:val="000C75BE"/>
    <w:rsid w:val="000D5FBB"/>
    <w:rsid w:val="000E1199"/>
    <w:rsid w:val="000E1254"/>
    <w:rsid w:val="000E5608"/>
    <w:rsid w:val="000F22A6"/>
    <w:rsid w:val="000F3BAA"/>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3011C"/>
    <w:rsid w:val="00136010"/>
    <w:rsid w:val="00137B35"/>
    <w:rsid w:val="001406C3"/>
    <w:rsid w:val="00140D63"/>
    <w:rsid w:val="001423F1"/>
    <w:rsid w:val="001429AA"/>
    <w:rsid w:val="001439FE"/>
    <w:rsid w:val="00145121"/>
    <w:rsid w:val="00153A59"/>
    <w:rsid w:val="0015606C"/>
    <w:rsid w:val="00156F61"/>
    <w:rsid w:val="00161F91"/>
    <w:rsid w:val="001636DD"/>
    <w:rsid w:val="001646D9"/>
    <w:rsid w:val="00165757"/>
    <w:rsid w:val="00165BF7"/>
    <w:rsid w:val="001721E7"/>
    <w:rsid w:val="00174A37"/>
    <w:rsid w:val="00175D57"/>
    <w:rsid w:val="00177FBB"/>
    <w:rsid w:val="001814E1"/>
    <w:rsid w:val="00184B82"/>
    <w:rsid w:val="001853A4"/>
    <w:rsid w:val="00186AB0"/>
    <w:rsid w:val="001908EA"/>
    <w:rsid w:val="001A05C7"/>
    <w:rsid w:val="001A6FC3"/>
    <w:rsid w:val="001B0D37"/>
    <w:rsid w:val="001B0EA9"/>
    <w:rsid w:val="001B0EC5"/>
    <w:rsid w:val="001B1B72"/>
    <w:rsid w:val="001B262F"/>
    <w:rsid w:val="001B2C8B"/>
    <w:rsid w:val="001B71C9"/>
    <w:rsid w:val="001B7806"/>
    <w:rsid w:val="001C0F11"/>
    <w:rsid w:val="001C169C"/>
    <w:rsid w:val="001C5386"/>
    <w:rsid w:val="001D0B43"/>
    <w:rsid w:val="001D36FA"/>
    <w:rsid w:val="001D77CF"/>
    <w:rsid w:val="001E00C6"/>
    <w:rsid w:val="001E0675"/>
    <w:rsid w:val="001E3B9D"/>
    <w:rsid w:val="001E7F9E"/>
    <w:rsid w:val="001F4E85"/>
    <w:rsid w:val="001F55D9"/>
    <w:rsid w:val="001F5AD2"/>
    <w:rsid w:val="001F620C"/>
    <w:rsid w:val="0020107A"/>
    <w:rsid w:val="002011AB"/>
    <w:rsid w:val="00201611"/>
    <w:rsid w:val="002043BD"/>
    <w:rsid w:val="0020643A"/>
    <w:rsid w:val="002073FD"/>
    <w:rsid w:val="00215CC6"/>
    <w:rsid w:val="002177CB"/>
    <w:rsid w:val="00217EA0"/>
    <w:rsid w:val="0022323F"/>
    <w:rsid w:val="00227E0F"/>
    <w:rsid w:val="0023088A"/>
    <w:rsid w:val="00233A20"/>
    <w:rsid w:val="0023773C"/>
    <w:rsid w:val="00245B10"/>
    <w:rsid w:val="00246794"/>
    <w:rsid w:val="002530B9"/>
    <w:rsid w:val="0025714C"/>
    <w:rsid w:val="0026216E"/>
    <w:rsid w:val="00262E4D"/>
    <w:rsid w:val="0026420C"/>
    <w:rsid w:val="0026488C"/>
    <w:rsid w:val="00266491"/>
    <w:rsid w:val="00266DB0"/>
    <w:rsid w:val="00273859"/>
    <w:rsid w:val="00284168"/>
    <w:rsid w:val="002864BC"/>
    <w:rsid w:val="0028780C"/>
    <w:rsid w:val="002906E8"/>
    <w:rsid w:val="00292487"/>
    <w:rsid w:val="00293A60"/>
    <w:rsid w:val="002A3885"/>
    <w:rsid w:val="002A70B3"/>
    <w:rsid w:val="002B69D8"/>
    <w:rsid w:val="002B6BA9"/>
    <w:rsid w:val="002D2737"/>
    <w:rsid w:val="002D7B66"/>
    <w:rsid w:val="002E038A"/>
    <w:rsid w:val="002E3600"/>
    <w:rsid w:val="002E5E71"/>
    <w:rsid w:val="002E7A4E"/>
    <w:rsid w:val="002F29EE"/>
    <w:rsid w:val="00300A8C"/>
    <w:rsid w:val="00305054"/>
    <w:rsid w:val="00307635"/>
    <w:rsid w:val="003079BC"/>
    <w:rsid w:val="00313583"/>
    <w:rsid w:val="0031392B"/>
    <w:rsid w:val="00313B32"/>
    <w:rsid w:val="00313FB0"/>
    <w:rsid w:val="003222DE"/>
    <w:rsid w:val="003233F2"/>
    <w:rsid w:val="0032547C"/>
    <w:rsid w:val="0032724B"/>
    <w:rsid w:val="0032782B"/>
    <w:rsid w:val="003332A7"/>
    <w:rsid w:val="0033464B"/>
    <w:rsid w:val="003364E9"/>
    <w:rsid w:val="00341FDC"/>
    <w:rsid w:val="003445F3"/>
    <w:rsid w:val="003502F3"/>
    <w:rsid w:val="00355821"/>
    <w:rsid w:val="0036009C"/>
    <w:rsid w:val="00360794"/>
    <w:rsid w:val="003610E0"/>
    <w:rsid w:val="003702C1"/>
    <w:rsid w:val="00370B66"/>
    <w:rsid w:val="00372F40"/>
    <w:rsid w:val="00375A8C"/>
    <w:rsid w:val="00381099"/>
    <w:rsid w:val="003820CA"/>
    <w:rsid w:val="00382CCB"/>
    <w:rsid w:val="00394920"/>
    <w:rsid w:val="00397D4C"/>
    <w:rsid w:val="003A0365"/>
    <w:rsid w:val="003A0375"/>
    <w:rsid w:val="003A0EE2"/>
    <w:rsid w:val="003A1276"/>
    <w:rsid w:val="003A5CD4"/>
    <w:rsid w:val="003B1B6E"/>
    <w:rsid w:val="003C0908"/>
    <w:rsid w:val="003D0FBA"/>
    <w:rsid w:val="003D5DBF"/>
    <w:rsid w:val="003E3586"/>
    <w:rsid w:val="003E5E58"/>
    <w:rsid w:val="003E7FD0"/>
    <w:rsid w:val="003F0392"/>
    <w:rsid w:val="003F43C7"/>
    <w:rsid w:val="0040568C"/>
    <w:rsid w:val="004062F0"/>
    <w:rsid w:val="00410AF3"/>
    <w:rsid w:val="00410C0A"/>
    <w:rsid w:val="0041268A"/>
    <w:rsid w:val="00412705"/>
    <w:rsid w:val="00412EB1"/>
    <w:rsid w:val="00414245"/>
    <w:rsid w:val="00417817"/>
    <w:rsid w:val="004178CA"/>
    <w:rsid w:val="00424383"/>
    <w:rsid w:val="00426E16"/>
    <w:rsid w:val="0042749C"/>
    <w:rsid w:val="0044136B"/>
    <w:rsid w:val="0044253C"/>
    <w:rsid w:val="004427A8"/>
    <w:rsid w:val="00442BD3"/>
    <w:rsid w:val="004437A5"/>
    <w:rsid w:val="00444A3D"/>
    <w:rsid w:val="0045769F"/>
    <w:rsid w:val="00460877"/>
    <w:rsid w:val="00460FE9"/>
    <w:rsid w:val="0046125D"/>
    <w:rsid w:val="00462F48"/>
    <w:rsid w:val="0046612F"/>
    <w:rsid w:val="00467610"/>
    <w:rsid w:val="0047223C"/>
    <w:rsid w:val="00472597"/>
    <w:rsid w:val="00473EA6"/>
    <w:rsid w:val="004764FC"/>
    <w:rsid w:val="00481BB6"/>
    <w:rsid w:val="00486AE1"/>
    <w:rsid w:val="004915D1"/>
    <w:rsid w:val="00491C7C"/>
    <w:rsid w:val="00491EDD"/>
    <w:rsid w:val="004939F2"/>
    <w:rsid w:val="00493FA8"/>
    <w:rsid w:val="00495751"/>
    <w:rsid w:val="00497D8B"/>
    <w:rsid w:val="004A49A1"/>
    <w:rsid w:val="004B01D6"/>
    <w:rsid w:val="004B041D"/>
    <w:rsid w:val="004B284E"/>
    <w:rsid w:val="004B3322"/>
    <w:rsid w:val="004B5E75"/>
    <w:rsid w:val="004B6537"/>
    <w:rsid w:val="004C038D"/>
    <w:rsid w:val="004C0598"/>
    <w:rsid w:val="004C2F0A"/>
    <w:rsid w:val="004D41B8"/>
    <w:rsid w:val="004D4F5D"/>
    <w:rsid w:val="004D72DD"/>
    <w:rsid w:val="004E2E00"/>
    <w:rsid w:val="004F09C0"/>
    <w:rsid w:val="004F29CC"/>
    <w:rsid w:val="004F50D8"/>
    <w:rsid w:val="004F6955"/>
    <w:rsid w:val="00502D8E"/>
    <w:rsid w:val="005033CB"/>
    <w:rsid w:val="00506351"/>
    <w:rsid w:val="00511628"/>
    <w:rsid w:val="005117F4"/>
    <w:rsid w:val="00514DB1"/>
    <w:rsid w:val="00516D35"/>
    <w:rsid w:val="00522632"/>
    <w:rsid w:val="0052453B"/>
    <w:rsid w:val="00524746"/>
    <w:rsid w:val="00524CF6"/>
    <w:rsid w:val="00527528"/>
    <w:rsid w:val="00531310"/>
    <w:rsid w:val="00534982"/>
    <w:rsid w:val="00540418"/>
    <w:rsid w:val="005640C6"/>
    <w:rsid w:val="00565128"/>
    <w:rsid w:val="00565BC3"/>
    <w:rsid w:val="00567E46"/>
    <w:rsid w:val="005706D9"/>
    <w:rsid w:val="00572656"/>
    <w:rsid w:val="00572976"/>
    <w:rsid w:val="00575404"/>
    <w:rsid w:val="0057638B"/>
    <w:rsid w:val="00576A8D"/>
    <w:rsid w:val="00582405"/>
    <w:rsid w:val="00584484"/>
    <w:rsid w:val="005855FA"/>
    <w:rsid w:val="005859FA"/>
    <w:rsid w:val="00595CAD"/>
    <w:rsid w:val="00596CFC"/>
    <w:rsid w:val="00596D2E"/>
    <w:rsid w:val="005A2589"/>
    <w:rsid w:val="005A285B"/>
    <w:rsid w:val="005A371E"/>
    <w:rsid w:val="005B1D10"/>
    <w:rsid w:val="005B6522"/>
    <w:rsid w:val="005C31D4"/>
    <w:rsid w:val="005C74A9"/>
    <w:rsid w:val="005D2601"/>
    <w:rsid w:val="005D3750"/>
    <w:rsid w:val="005D63B6"/>
    <w:rsid w:val="005E1B2D"/>
    <w:rsid w:val="005E43F4"/>
    <w:rsid w:val="005E6214"/>
    <w:rsid w:val="005F38CB"/>
    <w:rsid w:val="005F4E85"/>
    <w:rsid w:val="00601287"/>
    <w:rsid w:val="006046CA"/>
    <w:rsid w:val="006048D2"/>
    <w:rsid w:val="006103AC"/>
    <w:rsid w:val="00611E39"/>
    <w:rsid w:val="006131B3"/>
    <w:rsid w:val="006133D2"/>
    <w:rsid w:val="00613A39"/>
    <w:rsid w:val="006147C2"/>
    <w:rsid w:val="00620E8D"/>
    <w:rsid w:val="00624AF0"/>
    <w:rsid w:val="00633237"/>
    <w:rsid w:val="00636BC8"/>
    <w:rsid w:val="006371E0"/>
    <w:rsid w:val="006407C6"/>
    <w:rsid w:val="00640E11"/>
    <w:rsid w:val="00641410"/>
    <w:rsid w:val="006429CD"/>
    <w:rsid w:val="00643630"/>
    <w:rsid w:val="006453C1"/>
    <w:rsid w:val="0065283C"/>
    <w:rsid w:val="0065490B"/>
    <w:rsid w:val="00655F63"/>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59D7"/>
    <w:rsid w:val="006A605D"/>
    <w:rsid w:val="006B023A"/>
    <w:rsid w:val="006B16E7"/>
    <w:rsid w:val="006B48FF"/>
    <w:rsid w:val="006B729B"/>
    <w:rsid w:val="006C03CB"/>
    <w:rsid w:val="006C3DC5"/>
    <w:rsid w:val="006C5F52"/>
    <w:rsid w:val="006D350A"/>
    <w:rsid w:val="006D7389"/>
    <w:rsid w:val="006D75D6"/>
    <w:rsid w:val="006E0202"/>
    <w:rsid w:val="006E6ABC"/>
    <w:rsid w:val="006E6B8E"/>
    <w:rsid w:val="006E77DD"/>
    <w:rsid w:val="006F6105"/>
    <w:rsid w:val="006F655F"/>
    <w:rsid w:val="00712F26"/>
    <w:rsid w:val="007147F1"/>
    <w:rsid w:val="007214F4"/>
    <w:rsid w:val="00723009"/>
    <w:rsid w:val="00723458"/>
    <w:rsid w:val="00725769"/>
    <w:rsid w:val="00725B0E"/>
    <w:rsid w:val="007303FB"/>
    <w:rsid w:val="00731263"/>
    <w:rsid w:val="00732C21"/>
    <w:rsid w:val="00735303"/>
    <w:rsid w:val="00735C8C"/>
    <w:rsid w:val="00737CE6"/>
    <w:rsid w:val="00740458"/>
    <w:rsid w:val="007415E8"/>
    <w:rsid w:val="0074343E"/>
    <w:rsid w:val="007626C3"/>
    <w:rsid w:val="007716F2"/>
    <w:rsid w:val="00772D11"/>
    <w:rsid w:val="00776082"/>
    <w:rsid w:val="00781168"/>
    <w:rsid w:val="007811CB"/>
    <w:rsid w:val="00781278"/>
    <w:rsid w:val="0078139D"/>
    <w:rsid w:val="00786975"/>
    <w:rsid w:val="007922FD"/>
    <w:rsid w:val="007935F9"/>
    <w:rsid w:val="00793DC3"/>
    <w:rsid w:val="00794F06"/>
    <w:rsid w:val="0079582C"/>
    <w:rsid w:val="007A2E66"/>
    <w:rsid w:val="007A3D4E"/>
    <w:rsid w:val="007A480F"/>
    <w:rsid w:val="007A4AC0"/>
    <w:rsid w:val="007A5C35"/>
    <w:rsid w:val="007B16ED"/>
    <w:rsid w:val="007B1A84"/>
    <w:rsid w:val="007B4655"/>
    <w:rsid w:val="007B47A8"/>
    <w:rsid w:val="007C33A9"/>
    <w:rsid w:val="007C4173"/>
    <w:rsid w:val="007C4734"/>
    <w:rsid w:val="007C5FB3"/>
    <w:rsid w:val="007C7CE3"/>
    <w:rsid w:val="007D16CA"/>
    <w:rsid w:val="007D31BE"/>
    <w:rsid w:val="007D6E9A"/>
    <w:rsid w:val="007E1AFA"/>
    <w:rsid w:val="007E7DC3"/>
    <w:rsid w:val="007F06CA"/>
    <w:rsid w:val="007F2850"/>
    <w:rsid w:val="007F5B63"/>
    <w:rsid w:val="007F7FB2"/>
    <w:rsid w:val="00802567"/>
    <w:rsid w:val="00803F8D"/>
    <w:rsid w:val="008043DB"/>
    <w:rsid w:val="008053A2"/>
    <w:rsid w:val="0080591B"/>
    <w:rsid w:val="00810ACF"/>
    <w:rsid w:val="00810CE1"/>
    <w:rsid w:val="00811857"/>
    <w:rsid w:val="00811906"/>
    <w:rsid w:val="00811F6F"/>
    <w:rsid w:val="00813C52"/>
    <w:rsid w:val="00816BF6"/>
    <w:rsid w:val="00833898"/>
    <w:rsid w:val="0083507C"/>
    <w:rsid w:val="00842599"/>
    <w:rsid w:val="00843840"/>
    <w:rsid w:val="008637C1"/>
    <w:rsid w:val="00866DC7"/>
    <w:rsid w:val="00872C78"/>
    <w:rsid w:val="00881751"/>
    <w:rsid w:val="008859A1"/>
    <w:rsid w:val="0088715C"/>
    <w:rsid w:val="008913A9"/>
    <w:rsid w:val="00893945"/>
    <w:rsid w:val="008976A3"/>
    <w:rsid w:val="008A6B07"/>
    <w:rsid w:val="008A6E4D"/>
    <w:rsid w:val="008B0017"/>
    <w:rsid w:val="008B3891"/>
    <w:rsid w:val="008B6109"/>
    <w:rsid w:val="008C52CC"/>
    <w:rsid w:val="008C5608"/>
    <w:rsid w:val="008D4272"/>
    <w:rsid w:val="008E3652"/>
    <w:rsid w:val="008E38D7"/>
    <w:rsid w:val="008E6B1B"/>
    <w:rsid w:val="008F2198"/>
    <w:rsid w:val="008F2BC9"/>
    <w:rsid w:val="008F471B"/>
    <w:rsid w:val="00900209"/>
    <w:rsid w:val="009042FD"/>
    <w:rsid w:val="00905558"/>
    <w:rsid w:val="009133A2"/>
    <w:rsid w:val="0091347A"/>
    <w:rsid w:val="00915721"/>
    <w:rsid w:val="009206EA"/>
    <w:rsid w:val="009215EA"/>
    <w:rsid w:val="00925026"/>
    <w:rsid w:val="00926E2B"/>
    <w:rsid w:val="0093047D"/>
    <w:rsid w:val="00932E78"/>
    <w:rsid w:val="009337B6"/>
    <w:rsid w:val="009478B4"/>
    <w:rsid w:val="0095224D"/>
    <w:rsid w:val="00956F64"/>
    <w:rsid w:val="00957560"/>
    <w:rsid w:val="0096009B"/>
    <w:rsid w:val="00963099"/>
    <w:rsid w:val="0096474B"/>
    <w:rsid w:val="00970701"/>
    <w:rsid w:val="00970F51"/>
    <w:rsid w:val="00973D14"/>
    <w:rsid w:val="00975ADC"/>
    <w:rsid w:val="00976279"/>
    <w:rsid w:val="00976B3A"/>
    <w:rsid w:val="00980ECB"/>
    <w:rsid w:val="00982A1D"/>
    <w:rsid w:val="00985404"/>
    <w:rsid w:val="00987EAF"/>
    <w:rsid w:val="0099048E"/>
    <w:rsid w:val="009909AB"/>
    <w:rsid w:val="00992D44"/>
    <w:rsid w:val="00994457"/>
    <w:rsid w:val="009A0695"/>
    <w:rsid w:val="009A1108"/>
    <w:rsid w:val="009B3C74"/>
    <w:rsid w:val="009B4BDF"/>
    <w:rsid w:val="009C1CD1"/>
    <w:rsid w:val="009C47DB"/>
    <w:rsid w:val="009C54BF"/>
    <w:rsid w:val="009C721E"/>
    <w:rsid w:val="009C7BB0"/>
    <w:rsid w:val="009D4D8E"/>
    <w:rsid w:val="009E0CC3"/>
    <w:rsid w:val="009E3EBD"/>
    <w:rsid w:val="009E42D9"/>
    <w:rsid w:val="009E5F2A"/>
    <w:rsid w:val="009E60D5"/>
    <w:rsid w:val="009F1266"/>
    <w:rsid w:val="009F4C41"/>
    <w:rsid w:val="00A04974"/>
    <w:rsid w:val="00A04CCC"/>
    <w:rsid w:val="00A0752F"/>
    <w:rsid w:val="00A10E8A"/>
    <w:rsid w:val="00A14B74"/>
    <w:rsid w:val="00A16E67"/>
    <w:rsid w:val="00A17853"/>
    <w:rsid w:val="00A200EA"/>
    <w:rsid w:val="00A24B5C"/>
    <w:rsid w:val="00A25A64"/>
    <w:rsid w:val="00A274CF"/>
    <w:rsid w:val="00A30168"/>
    <w:rsid w:val="00A31BF9"/>
    <w:rsid w:val="00A34C28"/>
    <w:rsid w:val="00A37A48"/>
    <w:rsid w:val="00A51FB6"/>
    <w:rsid w:val="00A52E01"/>
    <w:rsid w:val="00A54D26"/>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1E2B"/>
    <w:rsid w:val="00AB3344"/>
    <w:rsid w:val="00AB4D6E"/>
    <w:rsid w:val="00AB6104"/>
    <w:rsid w:val="00AB6C5C"/>
    <w:rsid w:val="00AB7D6A"/>
    <w:rsid w:val="00AC2BEB"/>
    <w:rsid w:val="00AC47CB"/>
    <w:rsid w:val="00AC5103"/>
    <w:rsid w:val="00AC6447"/>
    <w:rsid w:val="00AC6BC3"/>
    <w:rsid w:val="00AC7206"/>
    <w:rsid w:val="00AD02DB"/>
    <w:rsid w:val="00AD0E70"/>
    <w:rsid w:val="00AD1576"/>
    <w:rsid w:val="00AD28ED"/>
    <w:rsid w:val="00AD42C4"/>
    <w:rsid w:val="00AD4901"/>
    <w:rsid w:val="00AD7E1C"/>
    <w:rsid w:val="00AE0300"/>
    <w:rsid w:val="00AE0C4F"/>
    <w:rsid w:val="00AE12A3"/>
    <w:rsid w:val="00AE28B6"/>
    <w:rsid w:val="00AE4943"/>
    <w:rsid w:val="00AE5EA4"/>
    <w:rsid w:val="00AE73BC"/>
    <w:rsid w:val="00AE74C5"/>
    <w:rsid w:val="00AE7F89"/>
    <w:rsid w:val="00AF253A"/>
    <w:rsid w:val="00AF2C80"/>
    <w:rsid w:val="00AF589F"/>
    <w:rsid w:val="00AF6A98"/>
    <w:rsid w:val="00B07C17"/>
    <w:rsid w:val="00B16297"/>
    <w:rsid w:val="00B17423"/>
    <w:rsid w:val="00B21FCF"/>
    <w:rsid w:val="00B22D32"/>
    <w:rsid w:val="00B277C2"/>
    <w:rsid w:val="00B326B0"/>
    <w:rsid w:val="00B345DE"/>
    <w:rsid w:val="00B35A7E"/>
    <w:rsid w:val="00B400BD"/>
    <w:rsid w:val="00B42A02"/>
    <w:rsid w:val="00B42BF0"/>
    <w:rsid w:val="00B45913"/>
    <w:rsid w:val="00B50F96"/>
    <w:rsid w:val="00B5759C"/>
    <w:rsid w:val="00B57638"/>
    <w:rsid w:val="00B61B23"/>
    <w:rsid w:val="00B626D7"/>
    <w:rsid w:val="00B6285F"/>
    <w:rsid w:val="00B62897"/>
    <w:rsid w:val="00B65FA7"/>
    <w:rsid w:val="00B72C00"/>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1732"/>
    <w:rsid w:val="00BC5416"/>
    <w:rsid w:val="00BC5E8F"/>
    <w:rsid w:val="00BD1C57"/>
    <w:rsid w:val="00BD5C94"/>
    <w:rsid w:val="00BE4B00"/>
    <w:rsid w:val="00BF5C7D"/>
    <w:rsid w:val="00BF7CA4"/>
    <w:rsid w:val="00C0293A"/>
    <w:rsid w:val="00C0304A"/>
    <w:rsid w:val="00C12269"/>
    <w:rsid w:val="00C1375F"/>
    <w:rsid w:val="00C15B56"/>
    <w:rsid w:val="00C20B56"/>
    <w:rsid w:val="00C2252C"/>
    <w:rsid w:val="00C2262F"/>
    <w:rsid w:val="00C22F80"/>
    <w:rsid w:val="00C269AE"/>
    <w:rsid w:val="00C31117"/>
    <w:rsid w:val="00C32634"/>
    <w:rsid w:val="00C32905"/>
    <w:rsid w:val="00C32B96"/>
    <w:rsid w:val="00C41566"/>
    <w:rsid w:val="00C44982"/>
    <w:rsid w:val="00C44D1E"/>
    <w:rsid w:val="00C44F01"/>
    <w:rsid w:val="00C4796C"/>
    <w:rsid w:val="00C50639"/>
    <w:rsid w:val="00C51767"/>
    <w:rsid w:val="00C55772"/>
    <w:rsid w:val="00C558A9"/>
    <w:rsid w:val="00C56A30"/>
    <w:rsid w:val="00C57B0A"/>
    <w:rsid w:val="00C6332B"/>
    <w:rsid w:val="00C65739"/>
    <w:rsid w:val="00C65D40"/>
    <w:rsid w:val="00C662F3"/>
    <w:rsid w:val="00C73ED8"/>
    <w:rsid w:val="00C80A56"/>
    <w:rsid w:val="00C83205"/>
    <w:rsid w:val="00C83BE6"/>
    <w:rsid w:val="00C929C8"/>
    <w:rsid w:val="00C9309B"/>
    <w:rsid w:val="00C95417"/>
    <w:rsid w:val="00CA299D"/>
    <w:rsid w:val="00CA2D37"/>
    <w:rsid w:val="00CA5468"/>
    <w:rsid w:val="00CA655F"/>
    <w:rsid w:val="00CA740E"/>
    <w:rsid w:val="00CB1CEC"/>
    <w:rsid w:val="00CB39B9"/>
    <w:rsid w:val="00CB4256"/>
    <w:rsid w:val="00CB4450"/>
    <w:rsid w:val="00CC02BC"/>
    <w:rsid w:val="00CC08B3"/>
    <w:rsid w:val="00CC2455"/>
    <w:rsid w:val="00CC27D9"/>
    <w:rsid w:val="00CC53A5"/>
    <w:rsid w:val="00CC5CB6"/>
    <w:rsid w:val="00CD7442"/>
    <w:rsid w:val="00CE051B"/>
    <w:rsid w:val="00CE06A5"/>
    <w:rsid w:val="00CE36C7"/>
    <w:rsid w:val="00CE3A44"/>
    <w:rsid w:val="00CE3AC7"/>
    <w:rsid w:val="00CF3334"/>
    <w:rsid w:val="00CF344F"/>
    <w:rsid w:val="00D03720"/>
    <w:rsid w:val="00D04581"/>
    <w:rsid w:val="00D04D6D"/>
    <w:rsid w:val="00D0510A"/>
    <w:rsid w:val="00D055EC"/>
    <w:rsid w:val="00D0711A"/>
    <w:rsid w:val="00D13436"/>
    <w:rsid w:val="00D136C5"/>
    <w:rsid w:val="00D154BE"/>
    <w:rsid w:val="00D1770E"/>
    <w:rsid w:val="00D22516"/>
    <w:rsid w:val="00D22757"/>
    <w:rsid w:val="00D240AD"/>
    <w:rsid w:val="00D25D34"/>
    <w:rsid w:val="00D322DA"/>
    <w:rsid w:val="00D325BD"/>
    <w:rsid w:val="00D325ED"/>
    <w:rsid w:val="00D404ED"/>
    <w:rsid w:val="00D41EB5"/>
    <w:rsid w:val="00D460A3"/>
    <w:rsid w:val="00D4624A"/>
    <w:rsid w:val="00D46E2F"/>
    <w:rsid w:val="00D46EFD"/>
    <w:rsid w:val="00D50A99"/>
    <w:rsid w:val="00D51261"/>
    <w:rsid w:val="00D54C5B"/>
    <w:rsid w:val="00D626D4"/>
    <w:rsid w:val="00D677EF"/>
    <w:rsid w:val="00D71401"/>
    <w:rsid w:val="00D748D3"/>
    <w:rsid w:val="00D752A7"/>
    <w:rsid w:val="00D85498"/>
    <w:rsid w:val="00D91D5D"/>
    <w:rsid w:val="00D94661"/>
    <w:rsid w:val="00DA1718"/>
    <w:rsid w:val="00DA1F12"/>
    <w:rsid w:val="00DA2F4F"/>
    <w:rsid w:val="00DA4DF3"/>
    <w:rsid w:val="00DA78CF"/>
    <w:rsid w:val="00DB28CD"/>
    <w:rsid w:val="00DB378D"/>
    <w:rsid w:val="00DB4299"/>
    <w:rsid w:val="00DB450B"/>
    <w:rsid w:val="00DC5479"/>
    <w:rsid w:val="00DD075D"/>
    <w:rsid w:val="00DD230F"/>
    <w:rsid w:val="00DD2C9D"/>
    <w:rsid w:val="00DD644F"/>
    <w:rsid w:val="00DD7E3C"/>
    <w:rsid w:val="00DF12D0"/>
    <w:rsid w:val="00DF3AD2"/>
    <w:rsid w:val="00DF440A"/>
    <w:rsid w:val="00DF77EA"/>
    <w:rsid w:val="00E011E4"/>
    <w:rsid w:val="00E05FFB"/>
    <w:rsid w:val="00E10430"/>
    <w:rsid w:val="00E1150D"/>
    <w:rsid w:val="00E11D83"/>
    <w:rsid w:val="00E1334E"/>
    <w:rsid w:val="00E136C7"/>
    <w:rsid w:val="00E13FEA"/>
    <w:rsid w:val="00E15128"/>
    <w:rsid w:val="00E15B6E"/>
    <w:rsid w:val="00E24C87"/>
    <w:rsid w:val="00E309F3"/>
    <w:rsid w:val="00E32708"/>
    <w:rsid w:val="00E3623C"/>
    <w:rsid w:val="00E37828"/>
    <w:rsid w:val="00E42847"/>
    <w:rsid w:val="00E4430C"/>
    <w:rsid w:val="00E45EA9"/>
    <w:rsid w:val="00E617A8"/>
    <w:rsid w:val="00E622A9"/>
    <w:rsid w:val="00E64A6D"/>
    <w:rsid w:val="00E66834"/>
    <w:rsid w:val="00E74945"/>
    <w:rsid w:val="00E87BBE"/>
    <w:rsid w:val="00E9097D"/>
    <w:rsid w:val="00E933DF"/>
    <w:rsid w:val="00EA1039"/>
    <w:rsid w:val="00EA16C6"/>
    <w:rsid w:val="00EA2266"/>
    <w:rsid w:val="00EA3C5D"/>
    <w:rsid w:val="00EA5418"/>
    <w:rsid w:val="00EB0CAB"/>
    <w:rsid w:val="00EB1F1F"/>
    <w:rsid w:val="00EC185F"/>
    <w:rsid w:val="00EC3D96"/>
    <w:rsid w:val="00EC4315"/>
    <w:rsid w:val="00EC561A"/>
    <w:rsid w:val="00EC581E"/>
    <w:rsid w:val="00ED0862"/>
    <w:rsid w:val="00ED08C8"/>
    <w:rsid w:val="00ED0DB2"/>
    <w:rsid w:val="00ED7303"/>
    <w:rsid w:val="00ED7A80"/>
    <w:rsid w:val="00ED7B94"/>
    <w:rsid w:val="00EE10DE"/>
    <w:rsid w:val="00EE14F0"/>
    <w:rsid w:val="00EE1674"/>
    <w:rsid w:val="00EE393F"/>
    <w:rsid w:val="00F00B08"/>
    <w:rsid w:val="00F04A31"/>
    <w:rsid w:val="00F04AA3"/>
    <w:rsid w:val="00F076A3"/>
    <w:rsid w:val="00F077A8"/>
    <w:rsid w:val="00F07FAF"/>
    <w:rsid w:val="00F16C29"/>
    <w:rsid w:val="00F17883"/>
    <w:rsid w:val="00F22101"/>
    <w:rsid w:val="00F2569F"/>
    <w:rsid w:val="00F345F1"/>
    <w:rsid w:val="00F37607"/>
    <w:rsid w:val="00F3761E"/>
    <w:rsid w:val="00F403C5"/>
    <w:rsid w:val="00F428F5"/>
    <w:rsid w:val="00F545E2"/>
    <w:rsid w:val="00F56F09"/>
    <w:rsid w:val="00F57E19"/>
    <w:rsid w:val="00F65B80"/>
    <w:rsid w:val="00F664E4"/>
    <w:rsid w:val="00F735CC"/>
    <w:rsid w:val="00F743A5"/>
    <w:rsid w:val="00F75E8F"/>
    <w:rsid w:val="00F82662"/>
    <w:rsid w:val="00F843F2"/>
    <w:rsid w:val="00F9018A"/>
    <w:rsid w:val="00F92B59"/>
    <w:rsid w:val="00F93F0E"/>
    <w:rsid w:val="00F94A6A"/>
    <w:rsid w:val="00F96944"/>
    <w:rsid w:val="00F97342"/>
    <w:rsid w:val="00FA191C"/>
    <w:rsid w:val="00FA5F75"/>
    <w:rsid w:val="00FB63B3"/>
    <w:rsid w:val="00FB776C"/>
    <w:rsid w:val="00FC2D71"/>
    <w:rsid w:val="00FC30C2"/>
    <w:rsid w:val="00FC38BC"/>
    <w:rsid w:val="00FC43EB"/>
    <w:rsid w:val="00FC4656"/>
    <w:rsid w:val="00FC71AA"/>
    <w:rsid w:val="00FD1A27"/>
    <w:rsid w:val="00FD63EF"/>
    <w:rsid w:val="00FD73DF"/>
    <w:rsid w:val="00FD741E"/>
    <w:rsid w:val="00FE3BF4"/>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62079809">
      <w:bodyDiv w:val="1"/>
      <w:marLeft w:val="0"/>
      <w:marRight w:val="0"/>
      <w:marTop w:val="0"/>
      <w:marBottom w:val="0"/>
      <w:divBdr>
        <w:top w:val="none" w:sz="0" w:space="0" w:color="auto"/>
        <w:left w:val="none" w:sz="0" w:space="0" w:color="auto"/>
        <w:bottom w:val="none" w:sz="0" w:space="0" w:color="auto"/>
        <w:right w:val="none" w:sz="0" w:space="0" w:color="auto"/>
      </w:divBdr>
    </w:div>
    <w:div w:id="388383404">
      <w:bodyDiv w:val="1"/>
      <w:marLeft w:val="0"/>
      <w:marRight w:val="0"/>
      <w:marTop w:val="0"/>
      <w:marBottom w:val="0"/>
      <w:divBdr>
        <w:top w:val="none" w:sz="0" w:space="0" w:color="auto"/>
        <w:left w:val="none" w:sz="0" w:space="0" w:color="auto"/>
        <w:bottom w:val="none" w:sz="0" w:space="0" w:color="auto"/>
        <w:right w:val="none" w:sz="0" w:space="0" w:color="auto"/>
      </w:divBdr>
    </w:div>
    <w:div w:id="403337876">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772434612">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60A4-2A57-4BE5-8B61-668C6B43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5193</Words>
  <Characters>28563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3</cp:revision>
  <cp:lastPrinted>2025-07-24T17:49:00Z</cp:lastPrinted>
  <dcterms:created xsi:type="dcterms:W3CDTF">2025-07-24T17:49:00Z</dcterms:created>
  <dcterms:modified xsi:type="dcterms:W3CDTF">2025-07-24T17:50:00Z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