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4265935"/>
    <w:p w:rsidR="001F55D9" w:rsidRPr="00E74967" w:rsidRDefault="0044273A" w:rsidP="001F55D9">
      <w:pPr>
        <w:tabs>
          <w:tab w:val="left" w:pos="6804"/>
        </w:tabs>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1F55D9" w:rsidRPr="00E74967">
        <w:rPr>
          <w:rStyle w:val="Hipervnculo"/>
          <w:rFonts w:cs="Calibri"/>
          <w:b/>
          <w:sz w:val="28"/>
          <w:szCs w:val="28"/>
        </w:rPr>
        <w:t>NOTAS DE GESTIÓN ADMINISTRATIVA</w:t>
      </w:r>
      <w:r>
        <w:rPr>
          <w:rStyle w:val="Hipervnculo"/>
          <w:rFonts w:cs="Calibri"/>
          <w:b/>
          <w:sz w:val="28"/>
          <w:szCs w:val="28"/>
        </w:rPr>
        <w:fldChar w:fldCharType="end"/>
      </w:r>
    </w:p>
    <w:p w:rsidR="001F55D9" w:rsidRDefault="001F55D9" w:rsidP="001F55D9">
      <w:pPr>
        <w:jc w:val="both"/>
        <w:rPr>
          <w:rFonts w:cs="Calibri"/>
        </w:rPr>
      </w:pPr>
    </w:p>
    <w:p w:rsidR="001F55D9" w:rsidRDefault="001F55D9" w:rsidP="001F55D9">
      <w:pPr>
        <w:jc w:val="center"/>
        <w:rPr>
          <w:rStyle w:val="Hipervnculo"/>
          <w:rFonts w:cs="Calibri"/>
          <w:b/>
          <w:sz w:val="28"/>
          <w:szCs w:val="28"/>
        </w:rPr>
      </w:pPr>
      <w:r w:rsidRPr="008E6B1B">
        <w:rPr>
          <w:rStyle w:val="Hipervnculo"/>
          <w:rFonts w:cs="Calibri"/>
          <w:b/>
          <w:sz w:val="28"/>
          <w:szCs w:val="28"/>
        </w:rPr>
        <w:t xml:space="preserve">AL </w:t>
      </w:r>
      <w:r w:rsidR="00A12CB2">
        <w:rPr>
          <w:rStyle w:val="Hipervnculo"/>
          <w:rFonts w:cs="Calibri"/>
          <w:b/>
          <w:sz w:val="28"/>
          <w:szCs w:val="28"/>
        </w:rPr>
        <w:t>PRIMER</w:t>
      </w:r>
      <w:r w:rsidRPr="008E6B1B">
        <w:rPr>
          <w:rStyle w:val="Hipervnculo"/>
          <w:rFonts w:cs="Calibri"/>
          <w:b/>
          <w:sz w:val="28"/>
          <w:szCs w:val="28"/>
        </w:rPr>
        <w:t xml:space="preserve"> TRIMESTRE DE 202</w:t>
      </w:r>
      <w:r w:rsidR="00A12CB2">
        <w:rPr>
          <w:rStyle w:val="Hipervnculo"/>
          <w:rFonts w:cs="Calibri"/>
          <w:b/>
          <w:sz w:val="28"/>
          <w:szCs w:val="28"/>
        </w:rPr>
        <w:t>6</w:t>
      </w:r>
    </w:p>
    <w:p w:rsidR="00F3761E" w:rsidRPr="00641410" w:rsidRDefault="00F3761E" w:rsidP="001F55D9">
      <w:pPr>
        <w:jc w:val="center"/>
        <w:rPr>
          <w:rStyle w:val="Hipervnculo"/>
          <w:rFonts w:cs="Calibri"/>
          <w:b/>
          <w:sz w:val="28"/>
          <w:szCs w:val="28"/>
        </w:rPr>
      </w:pPr>
      <w:bookmarkStart w:id="1" w:name="_GoBack"/>
      <w:bookmarkEnd w:id="1"/>
    </w:p>
    <w:p w:rsidR="00557A7A" w:rsidRDefault="00557A7A" w:rsidP="00557A7A">
      <w:pPr>
        <w:jc w:val="both"/>
        <w:rPr>
          <w:rFonts w:ascii="Arial" w:hAnsi="Arial" w:cs="Arial"/>
          <w:sz w:val="20"/>
          <w:szCs w:val="20"/>
        </w:rPr>
      </w:pPr>
      <w:bookmarkStart w:id="2" w:name="_Hlk227746757"/>
      <w:r w:rsidRPr="006E394E">
        <w:rPr>
          <w:rFonts w:ascii="Arial" w:hAnsi="Arial" w:cs="Arial"/>
          <w:sz w:val="20"/>
          <w:szCs w:val="20"/>
        </w:rPr>
        <w:t>Los Estados Financieros de los entes públicos, proveen de información financiera a los principales usuarios de la misma, Directivos, Instituciones gubernamental</w:t>
      </w:r>
      <w:r>
        <w:rPr>
          <w:rFonts w:ascii="Arial" w:hAnsi="Arial" w:cs="Arial"/>
          <w:sz w:val="20"/>
          <w:szCs w:val="20"/>
        </w:rPr>
        <w:t>es como la Secretarí</w:t>
      </w:r>
      <w:r w:rsidRPr="006E394E">
        <w:rPr>
          <w:rFonts w:ascii="Arial" w:hAnsi="Arial" w:cs="Arial"/>
          <w:sz w:val="20"/>
          <w:szCs w:val="20"/>
        </w:rPr>
        <w:t>a de Hacie</w:t>
      </w:r>
      <w:r>
        <w:rPr>
          <w:rFonts w:ascii="Arial" w:hAnsi="Arial" w:cs="Arial"/>
          <w:sz w:val="20"/>
          <w:szCs w:val="20"/>
        </w:rPr>
        <w:t>nda y Crédito Público, Secretarí</w:t>
      </w:r>
      <w:r w:rsidRPr="006E394E">
        <w:rPr>
          <w:rFonts w:ascii="Arial" w:hAnsi="Arial" w:cs="Arial"/>
          <w:sz w:val="20"/>
          <w:szCs w:val="20"/>
        </w:rPr>
        <w:t>a de Salud, Congreso de la Unión, Congreso del Estado y ciudadanía.</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El objetivo del presente documento es la revelación del contexto y de los aspectos económicos financieros más </w:t>
      </w:r>
      <w:r>
        <w:rPr>
          <w:rFonts w:ascii="Arial" w:hAnsi="Arial" w:cs="Arial"/>
          <w:sz w:val="20"/>
          <w:szCs w:val="20"/>
        </w:rPr>
        <w:t>representativos</w:t>
      </w:r>
      <w:r w:rsidRPr="006E394E">
        <w:rPr>
          <w:rFonts w:ascii="Arial" w:hAnsi="Arial" w:cs="Arial"/>
          <w:sz w:val="20"/>
          <w:szCs w:val="20"/>
        </w:rPr>
        <w:t xml:space="preserve"> que influ</w:t>
      </w:r>
      <w:r>
        <w:rPr>
          <w:rFonts w:ascii="Arial" w:hAnsi="Arial" w:cs="Arial"/>
          <w:sz w:val="20"/>
          <w:szCs w:val="20"/>
        </w:rPr>
        <w:t>yeron en las decisiones del peri</w:t>
      </w:r>
      <w:r w:rsidRPr="006E394E">
        <w:rPr>
          <w:rFonts w:ascii="Arial" w:hAnsi="Arial" w:cs="Arial"/>
          <w:sz w:val="20"/>
          <w:szCs w:val="20"/>
        </w:rPr>
        <w:t>odo, y que deberán ser considerados en la elaboración de los estados financieros para la mayor comprensión de los mismos y sus particularidades.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De esta manera, se informa y explica la respuesta del gobierno a las condiciones relacionadas con la inf</w:t>
      </w:r>
      <w:r>
        <w:rPr>
          <w:rFonts w:ascii="Arial" w:hAnsi="Arial" w:cs="Arial"/>
          <w:sz w:val="20"/>
          <w:szCs w:val="20"/>
        </w:rPr>
        <w:t>ormación financiera de cada peri</w:t>
      </w:r>
      <w:r w:rsidRPr="006E394E">
        <w:rPr>
          <w:rFonts w:ascii="Arial" w:hAnsi="Arial" w:cs="Arial"/>
          <w:sz w:val="20"/>
          <w:szCs w:val="20"/>
        </w:rPr>
        <w:t>odo de gestión; además, de exponer aquellas políticas que podrían afect</w:t>
      </w:r>
      <w:r>
        <w:rPr>
          <w:rFonts w:ascii="Arial" w:hAnsi="Arial" w:cs="Arial"/>
          <w:sz w:val="20"/>
          <w:szCs w:val="20"/>
        </w:rPr>
        <w:t>ar la toma de decisiones en peri</w:t>
      </w:r>
      <w:r w:rsidRPr="006E394E">
        <w:rPr>
          <w:rFonts w:ascii="Arial" w:hAnsi="Arial" w:cs="Arial"/>
          <w:sz w:val="20"/>
          <w:szCs w:val="20"/>
        </w:rPr>
        <w:t>odos posteriores.</w:t>
      </w:r>
    </w:p>
    <w:p w:rsidR="00557A7A" w:rsidRDefault="00557A7A" w:rsidP="00557A7A">
      <w:pPr>
        <w:jc w:val="both"/>
        <w:rPr>
          <w:rFonts w:ascii="Arial" w:hAnsi="Arial" w:cs="Arial"/>
          <w:b/>
          <w:sz w:val="20"/>
          <w:szCs w:val="20"/>
        </w:rPr>
      </w:pPr>
    </w:p>
    <w:p w:rsidR="00557A7A" w:rsidRDefault="00557A7A" w:rsidP="00557A7A">
      <w:pPr>
        <w:jc w:val="both"/>
        <w:rPr>
          <w:rFonts w:ascii="Arial" w:hAnsi="Arial" w:cs="Arial"/>
          <w:b/>
          <w:sz w:val="20"/>
          <w:szCs w:val="20"/>
        </w:rPr>
      </w:pPr>
    </w:p>
    <w:p w:rsidR="00557A7A" w:rsidRDefault="00557A7A" w:rsidP="00557A7A">
      <w:pPr>
        <w:jc w:val="both"/>
        <w:rPr>
          <w:rFonts w:ascii="Arial" w:hAnsi="Arial" w:cs="Arial"/>
          <w:b/>
          <w:sz w:val="20"/>
          <w:szCs w:val="20"/>
        </w:rPr>
      </w:pPr>
      <w:r w:rsidRPr="006E394E">
        <w:rPr>
          <w:rFonts w:ascii="Arial" w:hAnsi="Arial" w:cs="Arial"/>
          <w:b/>
          <w:sz w:val="20"/>
          <w:szCs w:val="20"/>
        </w:rPr>
        <w:t xml:space="preserve">1. </w:t>
      </w:r>
      <w:r>
        <w:rPr>
          <w:rFonts w:ascii="Arial" w:hAnsi="Arial" w:cs="Arial"/>
          <w:b/>
          <w:sz w:val="20"/>
          <w:szCs w:val="20"/>
        </w:rPr>
        <w:t>Autorización e Historia</w:t>
      </w:r>
      <w:r w:rsidRPr="006E394E">
        <w:rPr>
          <w:rFonts w:ascii="Arial" w:hAnsi="Arial" w:cs="Arial"/>
          <w:b/>
          <w:sz w:val="20"/>
          <w:szCs w:val="20"/>
        </w:rPr>
        <w:t>:</w:t>
      </w:r>
    </w:p>
    <w:p w:rsidR="00557A7A" w:rsidRDefault="00557A7A" w:rsidP="00557A7A">
      <w:pPr>
        <w:jc w:val="both"/>
        <w:rPr>
          <w:rFonts w:ascii="Arial" w:hAnsi="Arial" w:cs="Arial"/>
          <w:sz w:val="20"/>
          <w:szCs w:val="20"/>
        </w:rPr>
      </w:pPr>
      <w:r w:rsidRPr="006E394E">
        <w:rPr>
          <w:rFonts w:ascii="Arial" w:hAnsi="Arial" w:cs="Arial"/>
          <w:sz w:val="20"/>
          <w:szCs w:val="20"/>
        </w:rPr>
        <w:t>Se informará sobre:</w:t>
      </w: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Fecha de creación del ente.</w:t>
      </w:r>
    </w:p>
    <w:p w:rsidR="00557A7A" w:rsidRPr="006E394E" w:rsidRDefault="00557A7A" w:rsidP="00557A7A">
      <w:pPr>
        <w:jc w:val="both"/>
        <w:rPr>
          <w:rFonts w:ascii="Arial" w:hAnsi="Arial" w:cs="Arial"/>
          <w:sz w:val="20"/>
          <w:szCs w:val="20"/>
        </w:rPr>
      </w:pPr>
      <w:r w:rsidRPr="006E394E">
        <w:rPr>
          <w:rFonts w:ascii="Arial" w:hAnsi="Arial" w:cs="Arial"/>
          <w:sz w:val="20"/>
          <w:szCs w:val="20"/>
        </w:rPr>
        <w:t>Mediante Decreto Gubernativo Número 48, publicado en el Periódico Oficial del Gobierno del Estado Número 9, Tercera Parte, de fecha 22 de noviembre de 1996, se crea el Instituto de Salud Pública del Estado de Guanajuato, sectorizado a la Secretaría de Salud.</w:t>
      </w:r>
    </w:p>
    <w:p w:rsidR="00557A7A"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Principales cambios en su estructura (interna históricamente).</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Decreto Gubernativo Número 42, mediante el cual se Reestructura la organización interna del Instituto de Salud Pública del Estado. Publicado el </w:t>
      </w:r>
      <w:r w:rsidRPr="006E394E">
        <w:rPr>
          <w:rFonts w:ascii="Arial" w:hAnsi="Arial" w:cs="Arial"/>
          <w:b/>
          <w:sz w:val="20"/>
          <w:szCs w:val="20"/>
        </w:rPr>
        <w:t xml:space="preserve">25 </w:t>
      </w:r>
      <w:r>
        <w:rPr>
          <w:rFonts w:ascii="Arial" w:hAnsi="Arial" w:cs="Arial"/>
          <w:b/>
          <w:sz w:val="20"/>
          <w:szCs w:val="20"/>
        </w:rPr>
        <w:t xml:space="preserve">de </w:t>
      </w:r>
      <w:proofErr w:type="gramStart"/>
      <w:r w:rsidRPr="006E394E">
        <w:rPr>
          <w:rFonts w:ascii="Arial" w:hAnsi="Arial" w:cs="Arial"/>
          <w:b/>
          <w:sz w:val="20"/>
          <w:szCs w:val="20"/>
        </w:rPr>
        <w:t>Junio</w:t>
      </w:r>
      <w:proofErr w:type="gramEnd"/>
      <w:r>
        <w:rPr>
          <w:rFonts w:ascii="Arial" w:hAnsi="Arial" w:cs="Arial"/>
          <w:b/>
          <w:sz w:val="20"/>
          <w:szCs w:val="20"/>
        </w:rPr>
        <w:t xml:space="preserve"> de</w:t>
      </w:r>
      <w:r w:rsidRPr="006E394E">
        <w:rPr>
          <w:rFonts w:ascii="Arial" w:hAnsi="Arial" w:cs="Arial"/>
          <w:b/>
          <w:sz w:val="20"/>
          <w:szCs w:val="20"/>
        </w:rPr>
        <w:t xml:space="preserve"> 2001</w:t>
      </w:r>
      <w:r w:rsidRPr="006E394E">
        <w:rPr>
          <w:rFonts w:ascii="Arial" w:hAnsi="Arial" w:cs="Arial"/>
          <w:sz w:val="20"/>
          <w:szCs w:val="20"/>
        </w:rPr>
        <w:t>. A fin de hacerla congruente con las disposiciones de la Ley Orgánica del Poder Ejecutivo para el Estado de Guanajuato.</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Decreto Gubernativo número 268, mediante el cual se expide el Reglamento Interior del Instituto de Salud Pública del Estado de Guanajuato. Publicado el </w:t>
      </w:r>
      <w:r w:rsidRPr="006E394E">
        <w:rPr>
          <w:rFonts w:ascii="Arial" w:hAnsi="Arial" w:cs="Arial"/>
          <w:b/>
          <w:sz w:val="20"/>
          <w:szCs w:val="20"/>
        </w:rPr>
        <w:t xml:space="preserve">19 </w:t>
      </w:r>
      <w:r>
        <w:rPr>
          <w:rFonts w:ascii="Arial" w:hAnsi="Arial" w:cs="Arial"/>
          <w:b/>
          <w:sz w:val="20"/>
          <w:szCs w:val="20"/>
        </w:rPr>
        <w:t xml:space="preserve">de </w:t>
      </w:r>
      <w:proofErr w:type="gramStart"/>
      <w:r w:rsidRPr="006E394E">
        <w:rPr>
          <w:rFonts w:ascii="Arial" w:hAnsi="Arial" w:cs="Arial"/>
          <w:b/>
          <w:sz w:val="20"/>
          <w:szCs w:val="20"/>
        </w:rPr>
        <w:t>Mayo</w:t>
      </w:r>
      <w:proofErr w:type="gramEnd"/>
      <w:r>
        <w:rPr>
          <w:rFonts w:ascii="Arial" w:hAnsi="Arial" w:cs="Arial"/>
          <w:b/>
          <w:sz w:val="20"/>
          <w:szCs w:val="20"/>
        </w:rPr>
        <w:t xml:space="preserve"> de</w:t>
      </w:r>
      <w:r w:rsidRPr="006E394E">
        <w:rPr>
          <w:rFonts w:ascii="Arial" w:hAnsi="Arial" w:cs="Arial"/>
          <w:b/>
          <w:sz w:val="20"/>
          <w:szCs w:val="20"/>
        </w:rPr>
        <w:t xml:space="preserve"> 2006</w:t>
      </w:r>
      <w:r w:rsidRPr="006E394E">
        <w:rPr>
          <w:rFonts w:ascii="Arial" w:hAnsi="Arial" w:cs="Arial"/>
          <w:sz w:val="20"/>
          <w:szCs w:val="20"/>
        </w:rPr>
        <w:t>. A fin de incluir las nuevas unidades administrativas necesarias para hacer frente a las demandas y la eficiente prestación del servicio de salud en la entidad.</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Decreto Gubernativo número 230, mediante el cual se rediseña la estructura orgánica, incorporando dos Coordinaciones Generales: la de Salud Pública y la de Administración y Finanzas. Publicado el </w:t>
      </w:r>
      <w:r w:rsidRPr="006E394E">
        <w:rPr>
          <w:rFonts w:ascii="Arial" w:hAnsi="Arial" w:cs="Arial"/>
          <w:b/>
          <w:sz w:val="20"/>
          <w:szCs w:val="20"/>
        </w:rPr>
        <w:t>25 de septiembre de 2012</w:t>
      </w:r>
      <w:r w:rsidRPr="006E394E">
        <w:rPr>
          <w:rFonts w:ascii="Arial" w:hAnsi="Arial" w:cs="Arial"/>
          <w:sz w:val="20"/>
          <w:szCs w:val="20"/>
        </w:rPr>
        <w:t>. A fin de disponer de una estructura orgánica con tramos de control que hagan posible una distribución de funciones acorde con la dinámica operativa y de servicio, que conlleve una vinculación estrecha con las áreas subalternas, logrando contar así con una estructura equilibrada.</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Decreto Gubernativo número 126, mediante el cual se crea el Organismo Público Descentralizado de la Administración Pública Estatal denominado “Régimen de Protección Social en Salud del Estado de Guanajuato”. Publicado el 6 de octubre de 2015. A fin de desincorporar de la estructura administrativa y de los recursos con los que en ese tiempo el Instituto de Salud Pública del Estado de Guanajuato (ISAPEG), a través de la Dirección General del Régimen Estatal de Protección Social en Salud, se hizo cargo de la administración y operación de dicho régimen, derogando los artículos relativos del Reglamento Interior del ISAPEG, en virtud de que dicha unidad administrativa se extinguió cuando quedó constituido el organismo público descentralizado que asumió sus funciones.</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Pr>
          <w:rFonts w:ascii="Arial" w:hAnsi="Arial" w:cs="Arial"/>
          <w:sz w:val="20"/>
          <w:szCs w:val="20"/>
        </w:rPr>
        <w:t>Decreto Gubernativo 229, publicado en el Periódico Oficial del Gobierno del Estado de Guanajuato número 131, el 02 de julio de 2018, por el cual se reforman, adicionan y derogan diversos dispositivos normativos de distintas dependencias y entidades que integran la Administración Pública Estatal, a efecto de armonizar lo referente a los Órganos Internos de Control.</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Pr>
          <w:rFonts w:ascii="Arial" w:hAnsi="Arial" w:cs="Arial"/>
          <w:sz w:val="20"/>
          <w:szCs w:val="20"/>
        </w:rPr>
        <w:t xml:space="preserve">Decreto Gubernativo 43, publicado en el Periódico Oficial del Gobierno del Estado de Guanajuato número 45, segunda parte, el 3 de marzo de 2020, a través del cual se extingue el organismo público descentralizado de la Administración Pública Estatal denominado &lt;&lt;Régimen de Protección Social en Salud del Estado de Guanajuato&gt;&gt;. </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Pr>
          <w:rFonts w:ascii="Arial" w:hAnsi="Arial" w:cs="Arial"/>
          <w:sz w:val="20"/>
          <w:szCs w:val="20"/>
        </w:rPr>
        <w:t>Nuevo Reglamento Interior del Instituto de Salud Pública del Estado de Guanajuato, emitido mediante el Decreto Gubernativo No. 153 y publicado en el Periódico Oficial del Estado de Guanajuato el 07 de diciembre de 2023.</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 xml:space="preserve">2. </w:t>
      </w:r>
      <w:r>
        <w:rPr>
          <w:rFonts w:ascii="Arial" w:hAnsi="Arial" w:cs="Arial"/>
          <w:b/>
          <w:sz w:val="20"/>
          <w:szCs w:val="20"/>
        </w:rPr>
        <w:t>Describir el Panorama</w:t>
      </w:r>
      <w:r w:rsidRPr="006E394E">
        <w:rPr>
          <w:rFonts w:ascii="Arial" w:hAnsi="Arial" w:cs="Arial"/>
          <w:b/>
          <w:sz w:val="20"/>
          <w:szCs w:val="20"/>
        </w:rPr>
        <w:t xml:space="preserve"> Económico y Financiero:</w:t>
      </w:r>
      <w:r>
        <w:rPr>
          <w:rFonts w:ascii="Arial" w:hAnsi="Arial" w:cs="Arial"/>
          <w:b/>
          <w:sz w:val="20"/>
          <w:szCs w:val="20"/>
        </w:rPr>
        <w:t xml:space="preserve"> </w:t>
      </w:r>
    </w:p>
    <w:p w:rsidR="00557A7A" w:rsidRDefault="00557A7A" w:rsidP="00557A7A">
      <w:pPr>
        <w:jc w:val="both"/>
        <w:rPr>
          <w:rFonts w:ascii="Arial" w:hAnsi="Arial" w:cs="Arial"/>
          <w:sz w:val="20"/>
          <w:szCs w:val="20"/>
        </w:rPr>
      </w:pPr>
      <w:r w:rsidRPr="006E394E">
        <w:rPr>
          <w:rFonts w:ascii="Arial" w:hAnsi="Arial" w:cs="Arial"/>
          <w:sz w:val="20"/>
          <w:szCs w:val="20"/>
        </w:rPr>
        <w:t>Se informará sobre las principales condiciones económico-financieras bajo las cuales el ente público estuvo operando; y las cuales influyeron en la toma de decisiones de la administración; tanto a nivel local como federal.</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El Instituto de Salud Pública del Estado de Guanajuato es responsable de la administración, vigilancia y correcta aplicación de los recursos humanos, materiales y financieros transferidos de la federación hacia el estado, así como los asignados por el propio Gobierno Estatal, asegurándose que éstos se designen al otorgamiento de servicios de salud oportunos y de la más alta calidad posible.</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Actualmente el Instituto percibe recursos financieros provenientes de la federación mediante el Fondo de Aportaciones para los Servicios de Salud (FASSA) perteneciente al Ramo 33 del Gasto Federalizado, este ramo pertenece al Gasto Programable del Presupuesto de Egresos de la Federación y sus recursos se destinan a los procesos de descentralización de los servicios </w:t>
      </w:r>
      <w:r>
        <w:rPr>
          <w:rFonts w:ascii="Arial" w:hAnsi="Arial" w:cs="Arial"/>
          <w:sz w:val="20"/>
          <w:szCs w:val="20"/>
        </w:rPr>
        <w:t xml:space="preserve">de </w:t>
      </w:r>
      <w:r w:rsidRPr="006E394E">
        <w:rPr>
          <w:rFonts w:ascii="Arial" w:hAnsi="Arial" w:cs="Arial"/>
          <w:sz w:val="20"/>
          <w:szCs w:val="20"/>
        </w:rPr>
        <w:t xml:space="preserve">educación, </w:t>
      </w:r>
      <w:r w:rsidRPr="006E394E">
        <w:rPr>
          <w:rFonts w:ascii="Arial" w:hAnsi="Arial" w:cs="Arial"/>
          <w:b/>
          <w:sz w:val="20"/>
          <w:szCs w:val="20"/>
        </w:rPr>
        <w:t>salud</w:t>
      </w:r>
      <w:r w:rsidRPr="006E394E">
        <w:rPr>
          <w:rFonts w:ascii="Arial" w:hAnsi="Arial" w:cs="Arial"/>
          <w:sz w:val="20"/>
          <w:szCs w:val="20"/>
        </w:rPr>
        <w:t xml:space="preserve"> y seguridad pública, por mencionar los más importante. </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A partir del año 2011 se agregaron al Gasto Federalizado las transferencias de la Protección Social en Salud, y sus recursos forma</w:t>
      </w:r>
      <w:r>
        <w:rPr>
          <w:rFonts w:ascii="Arial" w:hAnsi="Arial" w:cs="Arial"/>
          <w:sz w:val="20"/>
          <w:szCs w:val="20"/>
        </w:rPr>
        <w:t xml:space="preserve">ban </w:t>
      </w:r>
      <w:r w:rsidRPr="006E394E">
        <w:rPr>
          <w:rFonts w:ascii="Arial" w:hAnsi="Arial" w:cs="Arial"/>
          <w:sz w:val="20"/>
          <w:szCs w:val="20"/>
        </w:rPr>
        <w:t>parte del programa presupuestario “Seguro Popular” a cargo de la Comisión Nacional de Protección Social en Salud, con quien el Estado de Guanajuato t</w:t>
      </w:r>
      <w:r>
        <w:rPr>
          <w:rFonts w:ascii="Arial" w:hAnsi="Arial" w:cs="Arial"/>
          <w:sz w:val="20"/>
          <w:szCs w:val="20"/>
        </w:rPr>
        <w:t>enía</w:t>
      </w:r>
      <w:r w:rsidRPr="006E394E">
        <w:rPr>
          <w:rFonts w:ascii="Arial" w:hAnsi="Arial" w:cs="Arial"/>
          <w:sz w:val="20"/>
          <w:szCs w:val="20"/>
        </w:rPr>
        <w:t xml:space="preserve"> suscrito un Acuerdo de Coordinación para la Ejecución del Sistema de Protección Social en Salud para el Ejercicio Fiscal 2019, representado por el Régimen Estatal de Protección Social en Salud del Estado de Guanajuato, quien fung</w:t>
      </w:r>
      <w:r>
        <w:rPr>
          <w:rFonts w:ascii="Arial" w:hAnsi="Arial" w:cs="Arial"/>
          <w:sz w:val="20"/>
          <w:szCs w:val="20"/>
        </w:rPr>
        <w:t>ía</w:t>
      </w:r>
      <w:r w:rsidRPr="006E394E">
        <w:rPr>
          <w:rFonts w:ascii="Arial" w:hAnsi="Arial" w:cs="Arial"/>
          <w:sz w:val="20"/>
          <w:szCs w:val="20"/>
        </w:rPr>
        <w:t xml:space="preserve"> como ente financiador y supervisor del ejercicio de estos recursos, gestionando el pago al Instituto por los servicios prestados para la atención médica a los beneficiarios de los programas; Seguro Popular, Fondo de Protección de Gastos Catastróficos, y</w:t>
      </w:r>
      <w:r>
        <w:rPr>
          <w:rFonts w:ascii="Arial" w:hAnsi="Arial" w:cs="Arial"/>
          <w:sz w:val="20"/>
          <w:szCs w:val="20"/>
        </w:rPr>
        <w:t xml:space="preserve"> Seguro Médico Siglo XXI.</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Pr>
          <w:rFonts w:ascii="Arial" w:hAnsi="Arial" w:cs="Arial"/>
          <w:sz w:val="20"/>
          <w:szCs w:val="20"/>
        </w:rPr>
        <w:t>En el Diario Oficial de la Federación del día 29 de noviembre de 2019, se reforma la Ley General de Salud, y desaparece de la misma, todo lo referente al Seguro Popular, denominando al Título Tercero Bis “</w:t>
      </w:r>
      <w:r w:rsidRPr="00936AA7">
        <w:rPr>
          <w:rFonts w:ascii="Arial" w:hAnsi="Arial" w:cs="Arial"/>
          <w:sz w:val="20"/>
          <w:szCs w:val="20"/>
        </w:rPr>
        <w:t>De la prestación gratuita de servicios de salud,</w:t>
      </w:r>
      <w:r>
        <w:rPr>
          <w:rFonts w:ascii="Arial" w:hAnsi="Arial" w:cs="Arial"/>
          <w:sz w:val="20"/>
          <w:szCs w:val="20"/>
        </w:rPr>
        <w:t xml:space="preserve"> </w:t>
      </w:r>
      <w:r w:rsidRPr="00936AA7">
        <w:rPr>
          <w:rFonts w:ascii="Arial" w:hAnsi="Arial" w:cs="Arial"/>
          <w:sz w:val="20"/>
          <w:szCs w:val="20"/>
        </w:rPr>
        <w:t>medicamentos y demás insumos asociados para</w:t>
      </w:r>
      <w:r>
        <w:rPr>
          <w:rFonts w:ascii="Arial" w:hAnsi="Arial" w:cs="Arial"/>
          <w:sz w:val="20"/>
          <w:szCs w:val="20"/>
        </w:rPr>
        <w:t xml:space="preserve"> </w:t>
      </w:r>
      <w:r w:rsidRPr="00936AA7">
        <w:rPr>
          <w:rFonts w:ascii="Arial" w:hAnsi="Arial" w:cs="Arial"/>
          <w:sz w:val="20"/>
          <w:szCs w:val="20"/>
        </w:rPr>
        <w:t>las personas sin seguridad social</w:t>
      </w:r>
      <w:r>
        <w:rPr>
          <w:rFonts w:ascii="Arial" w:hAnsi="Arial" w:cs="Arial"/>
          <w:sz w:val="20"/>
          <w:szCs w:val="20"/>
        </w:rPr>
        <w:t>”, y en su lugar, se crea el Instituto de Salud para el Bienestar.</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Pr>
          <w:rFonts w:ascii="Arial" w:hAnsi="Arial" w:cs="Arial"/>
          <w:sz w:val="20"/>
          <w:szCs w:val="20"/>
        </w:rPr>
        <w:t xml:space="preserve">El artículo 77 bis 2 indica lo siguiente: </w:t>
      </w:r>
      <w:r w:rsidRPr="00936AA7">
        <w:rPr>
          <w:rFonts w:ascii="Arial" w:hAnsi="Arial" w:cs="Arial"/>
          <w:sz w:val="20"/>
          <w:szCs w:val="20"/>
        </w:rPr>
        <w:t>La Secretaría de Salud, con el auxilio del Instituto de</w:t>
      </w:r>
      <w:r>
        <w:rPr>
          <w:rFonts w:ascii="Arial" w:hAnsi="Arial" w:cs="Arial"/>
          <w:sz w:val="20"/>
          <w:szCs w:val="20"/>
        </w:rPr>
        <w:t xml:space="preserve"> </w:t>
      </w:r>
      <w:r w:rsidRPr="00936AA7">
        <w:rPr>
          <w:rFonts w:ascii="Arial" w:hAnsi="Arial" w:cs="Arial"/>
          <w:sz w:val="20"/>
          <w:szCs w:val="20"/>
        </w:rPr>
        <w:t>Salud para el Bienestar, organizará las acciones para</w:t>
      </w:r>
      <w:r>
        <w:rPr>
          <w:rFonts w:ascii="Arial" w:hAnsi="Arial" w:cs="Arial"/>
          <w:sz w:val="20"/>
          <w:szCs w:val="20"/>
        </w:rPr>
        <w:t xml:space="preserve"> </w:t>
      </w:r>
      <w:r w:rsidRPr="00936AA7">
        <w:rPr>
          <w:rFonts w:ascii="Arial" w:hAnsi="Arial" w:cs="Arial"/>
          <w:sz w:val="20"/>
          <w:szCs w:val="20"/>
        </w:rPr>
        <w:t>la prestación gratuita de los servicios de salud,</w:t>
      </w:r>
      <w:r>
        <w:rPr>
          <w:rFonts w:ascii="Arial" w:hAnsi="Arial" w:cs="Arial"/>
          <w:sz w:val="20"/>
          <w:szCs w:val="20"/>
        </w:rPr>
        <w:t xml:space="preserve"> </w:t>
      </w:r>
      <w:r w:rsidRPr="00936AA7">
        <w:rPr>
          <w:rFonts w:ascii="Arial" w:hAnsi="Arial" w:cs="Arial"/>
          <w:sz w:val="20"/>
          <w:szCs w:val="20"/>
        </w:rPr>
        <w:t>medicamentos y demás insumos asociados que</w:t>
      </w:r>
      <w:r>
        <w:rPr>
          <w:rFonts w:ascii="Arial" w:hAnsi="Arial" w:cs="Arial"/>
          <w:sz w:val="20"/>
          <w:szCs w:val="20"/>
        </w:rPr>
        <w:t xml:space="preserve"> </w:t>
      </w:r>
      <w:r w:rsidRPr="00936AA7">
        <w:rPr>
          <w:rFonts w:ascii="Arial" w:hAnsi="Arial" w:cs="Arial"/>
          <w:sz w:val="20"/>
          <w:szCs w:val="20"/>
        </w:rPr>
        <w:t>requieran las personas sin seguridad social, cuando</w:t>
      </w:r>
      <w:r>
        <w:rPr>
          <w:rFonts w:ascii="Arial" w:hAnsi="Arial" w:cs="Arial"/>
          <w:sz w:val="20"/>
          <w:szCs w:val="20"/>
        </w:rPr>
        <w:t xml:space="preserve"> </w:t>
      </w:r>
      <w:r w:rsidRPr="00936AA7">
        <w:rPr>
          <w:rFonts w:ascii="Arial" w:hAnsi="Arial" w:cs="Arial"/>
          <w:sz w:val="20"/>
          <w:szCs w:val="20"/>
        </w:rPr>
        <w:t>así lo haya pactado con las entidades federativas</w:t>
      </w:r>
      <w:r>
        <w:rPr>
          <w:rFonts w:ascii="Arial" w:hAnsi="Arial" w:cs="Arial"/>
          <w:sz w:val="20"/>
          <w:szCs w:val="20"/>
        </w:rPr>
        <w:t xml:space="preserve"> </w:t>
      </w:r>
      <w:r w:rsidRPr="00936AA7">
        <w:rPr>
          <w:rFonts w:ascii="Arial" w:hAnsi="Arial" w:cs="Arial"/>
          <w:sz w:val="20"/>
          <w:szCs w:val="20"/>
        </w:rPr>
        <w:t>mediante la celebración de los acuerdos de</w:t>
      </w:r>
      <w:r>
        <w:rPr>
          <w:rFonts w:ascii="Arial" w:hAnsi="Arial" w:cs="Arial"/>
          <w:sz w:val="20"/>
          <w:szCs w:val="20"/>
        </w:rPr>
        <w:t xml:space="preserve"> </w:t>
      </w:r>
      <w:r w:rsidRPr="00936AA7">
        <w:rPr>
          <w:rFonts w:ascii="Arial" w:hAnsi="Arial" w:cs="Arial"/>
          <w:sz w:val="20"/>
          <w:szCs w:val="20"/>
        </w:rPr>
        <w:t>coordinación a que se refiere este Título.</w:t>
      </w:r>
      <w:r w:rsidRPr="00936AA7">
        <w:rPr>
          <w:rFonts w:ascii="Arial" w:hAnsi="Arial" w:cs="Arial"/>
          <w:sz w:val="20"/>
          <w:szCs w:val="20"/>
        </w:rPr>
        <w:cr/>
      </w:r>
    </w:p>
    <w:p w:rsidR="00557A7A" w:rsidRDefault="00557A7A" w:rsidP="00557A7A">
      <w:pPr>
        <w:jc w:val="both"/>
        <w:rPr>
          <w:rFonts w:ascii="Arial" w:hAnsi="Arial" w:cs="Arial"/>
          <w:sz w:val="20"/>
          <w:szCs w:val="20"/>
        </w:rPr>
      </w:pPr>
      <w:r>
        <w:rPr>
          <w:rFonts w:ascii="Arial" w:hAnsi="Arial" w:cs="Arial"/>
          <w:sz w:val="20"/>
          <w:szCs w:val="20"/>
        </w:rPr>
        <w:lastRenderedPageBreak/>
        <w:t>El Gobierno del Estado de Guanajuato, para el ejercicio fiscal de 2020, firmó un acuerdo de no Adhesión al Instituto de Salud para el Bienestar (INSABI), por lo tanto, la Federación hará las ministraciones de recursos financieros líquidos al Estado, así como los insumos en especie que determine la Secretaría de Salud Federal en coordinación con el INSABI. Por su parte el Gobierno del Estado de Guanajuato realizará la transferencia de recursos destinados a la salud mediante la Aportación Líquida Estatal. Posteriormente, el 07 de febrero de 2024,</w:t>
      </w:r>
      <w:r w:rsidR="005E6BCC">
        <w:rPr>
          <w:rFonts w:ascii="Arial" w:hAnsi="Arial" w:cs="Arial"/>
          <w:sz w:val="20"/>
          <w:szCs w:val="20"/>
        </w:rPr>
        <w:t xml:space="preserve"> </w:t>
      </w:r>
      <w:r w:rsidR="009C752E">
        <w:rPr>
          <w:rFonts w:ascii="Arial" w:hAnsi="Arial" w:cs="Arial"/>
          <w:sz w:val="20"/>
          <w:szCs w:val="20"/>
        </w:rPr>
        <w:t>25 de febrero de 2025 y 25 de febrero de 2026,</w:t>
      </w:r>
      <w:r>
        <w:rPr>
          <w:rFonts w:ascii="Arial" w:hAnsi="Arial" w:cs="Arial"/>
          <w:sz w:val="20"/>
          <w:szCs w:val="20"/>
        </w:rPr>
        <w:t xml:space="preserve"> se firma el Acuerdo de Coordinación celebrado entre "IMSS-BIENESTAR" y el Estado de Guanajuato para la prestación gratuita de servicios de salud, medicamentos y demás insumos asociados para las personas sin seguridad social a que se refiere el Título Tercero Bis, de la Ley General de Salud.</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Existen otros convenios federales que tiene suscritos el Instituto con la Federación, que tienen plenamente identificado el objetivo y que son de vigencia anual.</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En menor cuantía se obtienen ingresos propios por los convenios de colaboración que tiene el Instituto con otras entidades prestadoras de servicios de Salud.</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3</w:t>
      </w:r>
      <w:r w:rsidRPr="006E394E">
        <w:rPr>
          <w:rFonts w:ascii="Arial" w:hAnsi="Arial" w:cs="Arial"/>
          <w:b/>
          <w:sz w:val="20"/>
          <w:szCs w:val="20"/>
        </w:rPr>
        <w:t>. Organización y Objeto Social:</w:t>
      </w:r>
    </w:p>
    <w:p w:rsidR="00557A7A" w:rsidRDefault="00557A7A" w:rsidP="00557A7A">
      <w:pPr>
        <w:jc w:val="both"/>
        <w:rPr>
          <w:rFonts w:ascii="Arial" w:hAnsi="Arial" w:cs="Arial"/>
          <w:sz w:val="20"/>
          <w:szCs w:val="20"/>
        </w:rPr>
      </w:pPr>
      <w:r w:rsidRPr="006E394E">
        <w:rPr>
          <w:rFonts w:ascii="Arial" w:hAnsi="Arial" w:cs="Arial"/>
          <w:sz w:val="20"/>
          <w:szCs w:val="20"/>
        </w:rPr>
        <w:t>Se informará sobre:</w:t>
      </w:r>
    </w:p>
    <w:p w:rsidR="00557A7A" w:rsidRDefault="00557A7A" w:rsidP="00557A7A">
      <w:pPr>
        <w:jc w:val="both"/>
        <w:rPr>
          <w:rFonts w:ascii="Arial" w:hAnsi="Arial" w:cs="Arial"/>
          <w:sz w:val="20"/>
          <w:szCs w:val="20"/>
        </w:rPr>
      </w:pPr>
    </w:p>
    <w:p w:rsidR="00557A7A" w:rsidRPr="006E394E" w:rsidRDefault="00557A7A" w:rsidP="00557A7A">
      <w:pPr>
        <w:ind w:left="708" w:hanging="708"/>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Objeto social.</w:t>
      </w:r>
    </w:p>
    <w:p w:rsidR="00557A7A" w:rsidRPr="006E394E" w:rsidRDefault="00557A7A" w:rsidP="00557A7A">
      <w:pPr>
        <w:jc w:val="both"/>
        <w:rPr>
          <w:rFonts w:ascii="Arial" w:hAnsi="Arial" w:cs="Arial"/>
          <w:sz w:val="20"/>
          <w:szCs w:val="20"/>
        </w:rPr>
      </w:pPr>
      <w:r w:rsidRPr="006E394E">
        <w:rPr>
          <w:rFonts w:ascii="Arial" w:hAnsi="Arial" w:cs="Arial"/>
          <w:sz w:val="20"/>
          <w:szCs w:val="20"/>
        </w:rPr>
        <w:t>En Instituto de Salud Pública del Estado de Guanajuato tiene como objeto social:</w:t>
      </w:r>
    </w:p>
    <w:p w:rsidR="00557A7A" w:rsidRPr="006E394E" w:rsidRDefault="00557A7A" w:rsidP="00557A7A">
      <w:pPr>
        <w:pStyle w:val="Prrafodelista"/>
        <w:numPr>
          <w:ilvl w:val="0"/>
          <w:numId w:val="13"/>
        </w:numPr>
        <w:jc w:val="both"/>
        <w:rPr>
          <w:rFonts w:ascii="Arial" w:hAnsi="Arial" w:cs="Arial"/>
          <w:sz w:val="20"/>
          <w:szCs w:val="20"/>
        </w:rPr>
      </w:pPr>
      <w:r w:rsidRPr="006E394E">
        <w:rPr>
          <w:rFonts w:ascii="Arial" w:hAnsi="Arial" w:cs="Arial"/>
          <w:sz w:val="20"/>
          <w:szCs w:val="20"/>
        </w:rPr>
        <w:t xml:space="preserve">Ser el órgano ejecutor en la prestación de servicios de atención integral a la salud individual, familiar y comunitaria de la población abierta, en cumplimiento a lo dispuesto por las Leyes General y Estatal de Salud, sus respectivos reglamentos y por el Acuerdo de Coordinación de fecha 20 de agosto de 1996; y, </w:t>
      </w:r>
    </w:p>
    <w:p w:rsidR="00557A7A" w:rsidRPr="006E394E" w:rsidRDefault="00557A7A" w:rsidP="00557A7A">
      <w:pPr>
        <w:pStyle w:val="Prrafodelista"/>
        <w:numPr>
          <w:ilvl w:val="0"/>
          <w:numId w:val="13"/>
        </w:numPr>
        <w:jc w:val="both"/>
        <w:rPr>
          <w:rFonts w:ascii="Arial" w:hAnsi="Arial" w:cs="Arial"/>
          <w:sz w:val="20"/>
          <w:szCs w:val="20"/>
        </w:rPr>
      </w:pPr>
      <w:r w:rsidRPr="006E394E">
        <w:rPr>
          <w:rFonts w:ascii="Arial" w:hAnsi="Arial" w:cs="Arial"/>
          <w:sz w:val="20"/>
          <w:szCs w:val="20"/>
        </w:rPr>
        <w:t>Ser el órgano responsable en la administración, vigilancia y correcta aplicación de los recursos humanos, materiales y financieros transferidos de la Federación hacia el Estado, así como los asignados por el propio Gobierno Estatal, asegurándose que éstos se destinen al otorgamiento de servicios de salud oportunos y de la más alta calidad posible.</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Principal actividad.</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de Salud Pública del Estado de Guanajuato tiene como actividad prioritaria:</w:t>
      </w:r>
    </w:p>
    <w:p w:rsidR="00557A7A" w:rsidRPr="006E394E" w:rsidRDefault="00557A7A" w:rsidP="00557A7A">
      <w:pPr>
        <w:jc w:val="both"/>
        <w:rPr>
          <w:rFonts w:ascii="Arial" w:hAnsi="Arial" w:cs="Arial"/>
          <w:sz w:val="20"/>
          <w:szCs w:val="20"/>
        </w:rPr>
      </w:pPr>
      <w:r w:rsidRPr="006E394E">
        <w:rPr>
          <w:rFonts w:ascii="Arial" w:hAnsi="Arial" w:cs="Arial"/>
          <w:sz w:val="20"/>
          <w:szCs w:val="20"/>
        </w:rPr>
        <w:t>Realizar todas aquellas acciones que sean necesarias para mejorar la calidad en la prestación de los servicios de salud, bajo los lineamientos establecidos por la dependencia normativa en materia de salubridad local y concurrente, así como en los acuerdos para la descentralización operativa de los servicios de salud en el Estado;</w:t>
      </w:r>
    </w:p>
    <w:p w:rsidR="00557A7A" w:rsidRDefault="00557A7A" w:rsidP="00557A7A">
      <w:pPr>
        <w:jc w:val="both"/>
        <w:rPr>
          <w:rFonts w:ascii="Arial" w:hAnsi="Arial" w:cs="Arial"/>
          <w:b/>
          <w:sz w:val="20"/>
          <w:szCs w:val="20"/>
        </w:rPr>
      </w:pPr>
    </w:p>
    <w:p w:rsidR="00557A7A" w:rsidRPr="00D21344" w:rsidRDefault="00557A7A" w:rsidP="00557A7A">
      <w:pPr>
        <w:jc w:val="both"/>
        <w:rPr>
          <w:rFonts w:ascii="Arial" w:hAnsi="Arial" w:cs="Arial"/>
          <w:sz w:val="20"/>
          <w:szCs w:val="20"/>
        </w:rPr>
      </w:pPr>
      <w:r w:rsidRPr="00D21344">
        <w:rPr>
          <w:rFonts w:ascii="Arial" w:hAnsi="Arial" w:cs="Arial"/>
          <w:b/>
          <w:sz w:val="20"/>
          <w:szCs w:val="20"/>
        </w:rPr>
        <w:t>c)</w:t>
      </w:r>
      <w:r w:rsidRPr="00D21344">
        <w:rPr>
          <w:rFonts w:ascii="Arial" w:hAnsi="Arial" w:cs="Arial"/>
          <w:sz w:val="20"/>
          <w:szCs w:val="20"/>
        </w:rPr>
        <w:t xml:space="preserve"> Ejercicio fiscal.</w:t>
      </w:r>
    </w:p>
    <w:p w:rsidR="00557A7A" w:rsidRPr="006E394E" w:rsidRDefault="00557A7A" w:rsidP="00557A7A">
      <w:pPr>
        <w:jc w:val="both"/>
        <w:rPr>
          <w:rFonts w:ascii="Arial" w:hAnsi="Arial" w:cs="Arial"/>
          <w:sz w:val="20"/>
          <w:szCs w:val="20"/>
        </w:rPr>
      </w:pPr>
      <w:r w:rsidRPr="00D21344">
        <w:rPr>
          <w:rFonts w:ascii="Arial" w:hAnsi="Arial" w:cs="Arial"/>
          <w:sz w:val="20"/>
          <w:szCs w:val="20"/>
        </w:rPr>
        <w:t>El ejercicio fiscal actual comprende el periodo del 01 de enero al 31 de diciembre de 202</w:t>
      </w:r>
      <w:r w:rsidR="00AA0CFF">
        <w:rPr>
          <w:rFonts w:ascii="Arial" w:hAnsi="Arial" w:cs="Arial"/>
          <w:sz w:val="20"/>
          <w:szCs w:val="20"/>
        </w:rPr>
        <w:t>6</w:t>
      </w:r>
      <w:r w:rsidRPr="00D21344">
        <w:rPr>
          <w:rFonts w:ascii="Arial" w:hAnsi="Arial" w:cs="Arial"/>
          <w:sz w:val="20"/>
          <w:szCs w:val="20"/>
        </w:rPr>
        <w:t>.</w:t>
      </w:r>
    </w:p>
    <w:p w:rsidR="00557A7A" w:rsidRPr="006E394E"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Régimen jurídico</w:t>
      </w:r>
      <w:r>
        <w:rPr>
          <w:rFonts w:ascii="Arial" w:hAnsi="Arial" w:cs="Arial"/>
          <w:sz w:val="20"/>
          <w:szCs w:val="20"/>
        </w:rPr>
        <w:t>.</w:t>
      </w:r>
    </w:p>
    <w:p w:rsidR="00557A7A" w:rsidRPr="006E394E" w:rsidRDefault="00557A7A" w:rsidP="00557A7A">
      <w:pPr>
        <w:jc w:val="both"/>
        <w:rPr>
          <w:rFonts w:ascii="Arial" w:hAnsi="Arial" w:cs="Arial"/>
          <w:sz w:val="20"/>
          <w:szCs w:val="20"/>
        </w:rPr>
      </w:pPr>
      <w:r w:rsidRPr="006E394E">
        <w:rPr>
          <w:rFonts w:ascii="Arial" w:hAnsi="Arial" w:cs="Arial"/>
          <w:sz w:val="20"/>
          <w:szCs w:val="20"/>
        </w:rPr>
        <w:t xml:space="preserve">El Régimen jurídico con el que se encuentra registrado el Instituto de Salud Pública del Estado de Guanajuato es: </w:t>
      </w:r>
    </w:p>
    <w:p w:rsidR="00557A7A" w:rsidRPr="006E394E" w:rsidRDefault="00557A7A" w:rsidP="00557A7A">
      <w:pPr>
        <w:jc w:val="both"/>
        <w:rPr>
          <w:rFonts w:ascii="Arial" w:hAnsi="Arial" w:cs="Arial"/>
          <w:sz w:val="20"/>
          <w:szCs w:val="20"/>
        </w:rPr>
      </w:pPr>
      <w:r w:rsidRPr="006E394E">
        <w:rPr>
          <w:rFonts w:ascii="Arial" w:hAnsi="Arial" w:cs="Arial"/>
          <w:sz w:val="20"/>
          <w:szCs w:val="20"/>
        </w:rPr>
        <w:t>Régimen de las Personas Morales con Fines no Lucrativos.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Consideraciones fiscales del ente: </w:t>
      </w:r>
    </w:p>
    <w:p w:rsidR="00557A7A" w:rsidRPr="006E394E" w:rsidRDefault="00557A7A" w:rsidP="00557A7A">
      <w:pPr>
        <w:jc w:val="both"/>
        <w:rPr>
          <w:rFonts w:ascii="Arial" w:hAnsi="Arial" w:cs="Arial"/>
          <w:sz w:val="20"/>
          <w:szCs w:val="20"/>
        </w:rPr>
      </w:pPr>
      <w:r w:rsidRPr="006E394E">
        <w:rPr>
          <w:rFonts w:ascii="Arial" w:hAnsi="Arial" w:cs="Arial"/>
          <w:sz w:val="20"/>
          <w:szCs w:val="20"/>
        </w:rPr>
        <w:lastRenderedPageBreak/>
        <w:t xml:space="preserve">El Instituto de Salud Pública del Estado de Guanajuato, se encuentra inscrito en el Sistema de Administración Tributaria (SAT) con RFC ISP961122JV5, domicilio fiscal ubicado en </w:t>
      </w:r>
      <w:proofErr w:type="spellStart"/>
      <w:r w:rsidRPr="006E394E">
        <w:rPr>
          <w:rFonts w:ascii="Arial" w:hAnsi="Arial" w:cs="Arial"/>
          <w:sz w:val="20"/>
          <w:szCs w:val="20"/>
        </w:rPr>
        <w:t>Tamazuca</w:t>
      </w:r>
      <w:proofErr w:type="spellEnd"/>
      <w:r w:rsidRPr="006E394E">
        <w:rPr>
          <w:rFonts w:ascii="Arial" w:hAnsi="Arial" w:cs="Arial"/>
          <w:sz w:val="20"/>
          <w:szCs w:val="20"/>
        </w:rPr>
        <w:t xml:space="preserve"> 4 de la colonia Guanajuato Centro, en la ciudad de Guanajuato, </w:t>
      </w:r>
      <w:proofErr w:type="spellStart"/>
      <w:r w:rsidRPr="006E394E">
        <w:rPr>
          <w:rFonts w:ascii="Arial" w:hAnsi="Arial" w:cs="Arial"/>
          <w:sz w:val="20"/>
          <w:szCs w:val="20"/>
        </w:rPr>
        <w:t>G</w:t>
      </w:r>
      <w:r>
        <w:rPr>
          <w:rFonts w:ascii="Arial" w:hAnsi="Arial" w:cs="Arial"/>
          <w:sz w:val="20"/>
          <w:szCs w:val="20"/>
        </w:rPr>
        <w:t>to</w:t>
      </w:r>
      <w:proofErr w:type="spellEnd"/>
      <w:r>
        <w:rPr>
          <w:rFonts w:ascii="Arial" w:hAnsi="Arial" w:cs="Arial"/>
          <w:sz w:val="20"/>
          <w:szCs w:val="20"/>
        </w:rPr>
        <w:t>., y C</w:t>
      </w:r>
      <w:r w:rsidRPr="006E394E">
        <w:rPr>
          <w:rFonts w:ascii="Arial" w:hAnsi="Arial" w:cs="Arial"/>
          <w:sz w:val="20"/>
          <w:szCs w:val="20"/>
        </w:rPr>
        <w:t>ódigo Postal 36000 con las siguientes obligaciones fiscales:</w:t>
      </w:r>
    </w:p>
    <w:p w:rsidR="00557A7A" w:rsidRDefault="00557A7A" w:rsidP="00557A7A">
      <w:pPr>
        <w:jc w:val="both"/>
        <w:rPr>
          <w:rFonts w:ascii="Arial" w:hAnsi="Arial" w:cs="Arial"/>
          <w:sz w:val="20"/>
          <w:szCs w:val="20"/>
          <w:u w:val="single"/>
        </w:rPr>
      </w:pPr>
    </w:p>
    <w:p w:rsidR="00557A7A" w:rsidRPr="006E394E"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Entero de retenciones mensuales de ISR por sueldos y salarios.</w:t>
      </w:r>
    </w:p>
    <w:p w:rsidR="00557A7A" w:rsidRPr="006E394E"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Entero de retenciones mensuales de ISR por ingresos asimilados a salarios.</w:t>
      </w:r>
    </w:p>
    <w:p w:rsidR="00557A7A" w:rsidRPr="006E394E"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Entero mensual de retenciones de ISR por servicios profesionales.</w:t>
      </w:r>
    </w:p>
    <w:p w:rsidR="00557A7A" w:rsidRPr="006E394E"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Entero mensual de retenciones de ISR de ingresos por arrendamiento.</w:t>
      </w:r>
    </w:p>
    <w:p w:rsidR="00557A7A" w:rsidRPr="006E394E"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Declaración Informativa anual de pagos y retenciones de servicios profesionales. Personas Morales. Impuesto Sobre la Renta.</w:t>
      </w:r>
    </w:p>
    <w:p w:rsidR="00557A7A" w:rsidRPr="006E394E"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Declaración Informativa anual de retenciones de ISR por arrendamiento de inmuebles.</w:t>
      </w:r>
    </w:p>
    <w:p w:rsidR="00557A7A" w:rsidRDefault="00557A7A" w:rsidP="00557A7A">
      <w:pPr>
        <w:pStyle w:val="Prrafodelista"/>
        <w:numPr>
          <w:ilvl w:val="0"/>
          <w:numId w:val="10"/>
        </w:numPr>
        <w:jc w:val="both"/>
        <w:rPr>
          <w:rFonts w:ascii="Arial" w:hAnsi="Arial" w:cs="Arial"/>
          <w:sz w:val="20"/>
          <w:szCs w:val="20"/>
        </w:rPr>
      </w:pPr>
      <w:r w:rsidRPr="006E394E">
        <w:rPr>
          <w:rFonts w:ascii="Arial" w:hAnsi="Arial" w:cs="Arial"/>
          <w:sz w:val="20"/>
          <w:szCs w:val="20"/>
        </w:rPr>
        <w:t>Declaración Informativa Mensual de Proveedores (DIOT).</w:t>
      </w:r>
    </w:p>
    <w:p w:rsidR="00557A7A" w:rsidRPr="006E394E" w:rsidRDefault="00557A7A" w:rsidP="00557A7A">
      <w:pPr>
        <w:pStyle w:val="Prrafodelista"/>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En relación a las obligaciones fiscales locales con la Secretaría de Finanzas, se tienen las siguientes:</w:t>
      </w:r>
    </w:p>
    <w:p w:rsidR="00557A7A" w:rsidRPr="006E394E" w:rsidRDefault="00557A7A" w:rsidP="00557A7A">
      <w:pPr>
        <w:jc w:val="both"/>
        <w:rPr>
          <w:rFonts w:ascii="Arial" w:hAnsi="Arial" w:cs="Arial"/>
          <w:sz w:val="20"/>
          <w:szCs w:val="20"/>
        </w:rPr>
      </w:pPr>
    </w:p>
    <w:p w:rsidR="00557A7A" w:rsidRPr="006E394E" w:rsidRDefault="00557A7A" w:rsidP="00557A7A">
      <w:pPr>
        <w:pStyle w:val="Prrafodelista"/>
        <w:numPr>
          <w:ilvl w:val="0"/>
          <w:numId w:val="12"/>
        </w:numPr>
        <w:jc w:val="both"/>
        <w:rPr>
          <w:rFonts w:ascii="Arial" w:hAnsi="Arial" w:cs="Arial"/>
          <w:sz w:val="20"/>
          <w:szCs w:val="20"/>
        </w:rPr>
      </w:pPr>
      <w:r w:rsidRPr="006E394E">
        <w:rPr>
          <w:rFonts w:ascii="Arial" w:hAnsi="Arial" w:cs="Arial"/>
          <w:sz w:val="20"/>
          <w:szCs w:val="20"/>
        </w:rPr>
        <w:t>Declaración y Pago Provisional mensual de retenciones de Impuesto Cedular por arrendamiento de Inmuebles efectuados de Personas Físicas.</w:t>
      </w:r>
    </w:p>
    <w:p w:rsidR="00557A7A" w:rsidRPr="006E394E" w:rsidRDefault="00557A7A" w:rsidP="00557A7A">
      <w:pPr>
        <w:pStyle w:val="Prrafodelista"/>
        <w:numPr>
          <w:ilvl w:val="0"/>
          <w:numId w:val="12"/>
        </w:numPr>
        <w:jc w:val="both"/>
        <w:rPr>
          <w:rFonts w:ascii="Arial" w:hAnsi="Arial" w:cs="Arial"/>
          <w:sz w:val="20"/>
          <w:szCs w:val="20"/>
        </w:rPr>
      </w:pPr>
      <w:r w:rsidRPr="006E394E">
        <w:rPr>
          <w:rFonts w:ascii="Arial" w:hAnsi="Arial" w:cs="Arial"/>
          <w:sz w:val="20"/>
          <w:szCs w:val="20"/>
        </w:rPr>
        <w:t>Declaración y Pago Provisional mensual de retenciones de Impuesto Cedular por Servicios Profesionales efectuados de Personas Físicas</w:t>
      </w:r>
    </w:p>
    <w:p w:rsidR="00557A7A" w:rsidRPr="006E394E" w:rsidRDefault="00557A7A" w:rsidP="00557A7A">
      <w:pPr>
        <w:pStyle w:val="Prrafodelista"/>
        <w:numPr>
          <w:ilvl w:val="0"/>
          <w:numId w:val="11"/>
        </w:numPr>
        <w:jc w:val="both"/>
        <w:rPr>
          <w:rFonts w:ascii="Arial" w:hAnsi="Arial" w:cs="Arial"/>
          <w:sz w:val="20"/>
          <w:szCs w:val="20"/>
        </w:rPr>
      </w:pPr>
      <w:r w:rsidRPr="006E394E">
        <w:rPr>
          <w:rFonts w:ascii="Arial" w:hAnsi="Arial" w:cs="Arial"/>
          <w:sz w:val="20"/>
          <w:szCs w:val="20"/>
        </w:rPr>
        <w:t>Declaración anual de retenciones de Impuesto cedular por conceptos de Servicios Profesionales y Arrendamiento de Inmuebles.</w:t>
      </w:r>
    </w:p>
    <w:p w:rsidR="00557A7A" w:rsidRPr="00BD32A2" w:rsidRDefault="00557A7A" w:rsidP="00557A7A">
      <w:pPr>
        <w:pStyle w:val="Prrafodelista"/>
        <w:numPr>
          <w:ilvl w:val="0"/>
          <w:numId w:val="11"/>
        </w:numPr>
        <w:jc w:val="both"/>
        <w:rPr>
          <w:rFonts w:ascii="Arial" w:hAnsi="Arial" w:cs="Arial"/>
          <w:sz w:val="20"/>
          <w:szCs w:val="20"/>
        </w:rPr>
      </w:pPr>
      <w:r w:rsidRPr="00BD32A2">
        <w:rPr>
          <w:rFonts w:ascii="Arial" w:hAnsi="Arial" w:cs="Arial"/>
          <w:sz w:val="20"/>
          <w:szCs w:val="20"/>
        </w:rPr>
        <w:t>Declaración y pago mensual de Impuesto sobre Nómina.</w:t>
      </w:r>
    </w:p>
    <w:p w:rsidR="00557A7A" w:rsidRPr="006E394E" w:rsidRDefault="00557A7A" w:rsidP="00557A7A">
      <w:pPr>
        <w:pStyle w:val="Prrafodelista"/>
        <w:numPr>
          <w:ilvl w:val="0"/>
          <w:numId w:val="11"/>
        </w:numPr>
        <w:jc w:val="both"/>
        <w:rPr>
          <w:rFonts w:ascii="Arial" w:hAnsi="Arial" w:cs="Arial"/>
          <w:sz w:val="20"/>
          <w:szCs w:val="20"/>
        </w:rPr>
      </w:pPr>
      <w:r w:rsidRPr="006E394E">
        <w:rPr>
          <w:rFonts w:ascii="Arial" w:hAnsi="Arial" w:cs="Arial"/>
          <w:sz w:val="20"/>
          <w:szCs w:val="20"/>
        </w:rPr>
        <w:t>Declaración anual de Impuesto sobre Nómina</w:t>
      </w:r>
      <w:r>
        <w:rPr>
          <w:rFonts w:ascii="Arial" w:hAnsi="Arial" w:cs="Arial"/>
          <w:sz w:val="20"/>
          <w:szCs w:val="20"/>
        </w:rPr>
        <w:t>.</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Estructura organizacional básica.</w:t>
      </w:r>
    </w:p>
    <w:p w:rsidR="00557A7A" w:rsidRDefault="00557A7A" w:rsidP="00557A7A">
      <w:pPr>
        <w:ind w:firstLine="708"/>
        <w:jc w:val="both"/>
        <w:rPr>
          <w:rFonts w:ascii="Arial" w:hAnsi="Arial" w:cs="Arial"/>
          <w:sz w:val="20"/>
          <w:szCs w:val="20"/>
        </w:rPr>
      </w:pPr>
      <w:r w:rsidRPr="006E394E">
        <w:rPr>
          <w:rFonts w:ascii="Arial" w:hAnsi="Arial" w:cs="Arial"/>
          <w:sz w:val="20"/>
          <w:szCs w:val="20"/>
        </w:rPr>
        <w:t>La estructura organizacional básica del Instituto de Salud Pública del Estado de Guanajuato, se encuentra autorizada en su Reglamento Interior Vigente, y es la siguiente:</w:t>
      </w:r>
    </w:p>
    <w:p w:rsidR="00557A7A" w:rsidRPr="006E394E" w:rsidRDefault="00557A7A" w:rsidP="00557A7A">
      <w:pPr>
        <w:ind w:firstLine="708"/>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I.- Director General</w:t>
      </w:r>
    </w:p>
    <w:p w:rsidR="00557A7A" w:rsidRPr="006E394E" w:rsidRDefault="00557A7A" w:rsidP="00557A7A">
      <w:pPr>
        <w:pStyle w:val="Prrafodelista"/>
        <w:numPr>
          <w:ilvl w:val="1"/>
          <w:numId w:val="14"/>
        </w:numPr>
        <w:jc w:val="both"/>
        <w:rPr>
          <w:rFonts w:ascii="Arial" w:hAnsi="Arial" w:cs="Arial"/>
          <w:i/>
          <w:sz w:val="20"/>
          <w:szCs w:val="20"/>
        </w:rPr>
      </w:pPr>
      <w:r w:rsidRPr="006E394E">
        <w:rPr>
          <w:rFonts w:ascii="Arial" w:hAnsi="Arial" w:cs="Arial"/>
          <w:i/>
          <w:sz w:val="20"/>
          <w:szCs w:val="20"/>
        </w:rPr>
        <w:t>Secretaría Particular</w:t>
      </w:r>
    </w:p>
    <w:p w:rsidR="00557A7A" w:rsidRDefault="00557A7A" w:rsidP="00557A7A">
      <w:pPr>
        <w:pStyle w:val="Prrafodelista"/>
        <w:numPr>
          <w:ilvl w:val="1"/>
          <w:numId w:val="14"/>
        </w:numPr>
        <w:jc w:val="both"/>
        <w:rPr>
          <w:rFonts w:ascii="Arial" w:hAnsi="Arial" w:cs="Arial"/>
          <w:i/>
          <w:sz w:val="20"/>
          <w:szCs w:val="20"/>
        </w:rPr>
      </w:pPr>
      <w:r w:rsidRPr="006E394E">
        <w:rPr>
          <w:rFonts w:ascii="Arial" w:hAnsi="Arial" w:cs="Arial"/>
          <w:i/>
          <w:sz w:val="20"/>
          <w:szCs w:val="20"/>
        </w:rPr>
        <w:t>Secretaría Técnica</w:t>
      </w:r>
    </w:p>
    <w:p w:rsidR="00557A7A" w:rsidRPr="006E394E" w:rsidRDefault="00557A7A" w:rsidP="00557A7A">
      <w:pPr>
        <w:pStyle w:val="Prrafodelista"/>
        <w:numPr>
          <w:ilvl w:val="1"/>
          <w:numId w:val="14"/>
        </w:numPr>
        <w:jc w:val="both"/>
        <w:rPr>
          <w:rFonts w:ascii="Arial" w:hAnsi="Arial" w:cs="Arial"/>
          <w:i/>
          <w:sz w:val="20"/>
          <w:szCs w:val="20"/>
        </w:rPr>
      </w:pPr>
      <w:r>
        <w:rPr>
          <w:rFonts w:ascii="Arial" w:hAnsi="Arial" w:cs="Arial"/>
          <w:i/>
          <w:sz w:val="20"/>
          <w:szCs w:val="20"/>
        </w:rPr>
        <w:t>Coordinación de Asuntos Jurídicos</w:t>
      </w:r>
    </w:p>
    <w:p w:rsidR="00557A7A" w:rsidRDefault="00557A7A" w:rsidP="00557A7A">
      <w:pPr>
        <w:pStyle w:val="Prrafodelista"/>
        <w:numPr>
          <w:ilvl w:val="1"/>
          <w:numId w:val="14"/>
        </w:numPr>
        <w:jc w:val="both"/>
        <w:rPr>
          <w:rFonts w:ascii="Arial" w:hAnsi="Arial" w:cs="Arial"/>
          <w:i/>
          <w:sz w:val="20"/>
          <w:szCs w:val="20"/>
        </w:rPr>
      </w:pPr>
      <w:r>
        <w:rPr>
          <w:rFonts w:ascii="Arial" w:hAnsi="Arial" w:cs="Arial"/>
          <w:i/>
          <w:sz w:val="20"/>
          <w:szCs w:val="20"/>
        </w:rPr>
        <w:t xml:space="preserve">Coordinación de </w:t>
      </w:r>
      <w:r w:rsidRPr="006E394E">
        <w:rPr>
          <w:rFonts w:ascii="Arial" w:hAnsi="Arial" w:cs="Arial"/>
          <w:i/>
          <w:sz w:val="20"/>
          <w:szCs w:val="20"/>
        </w:rPr>
        <w:t>Comunicación Social</w:t>
      </w:r>
    </w:p>
    <w:p w:rsidR="00557A7A" w:rsidRPr="006E394E" w:rsidRDefault="00557A7A" w:rsidP="00557A7A">
      <w:pPr>
        <w:pStyle w:val="Prrafodelista"/>
        <w:numPr>
          <w:ilvl w:val="1"/>
          <w:numId w:val="14"/>
        </w:numPr>
        <w:jc w:val="both"/>
        <w:rPr>
          <w:rFonts w:ascii="Arial" w:hAnsi="Arial" w:cs="Arial"/>
          <w:i/>
          <w:sz w:val="20"/>
          <w:szCs w:val="20"/>
        </w:rPr>
      </w:pPr>
      <w:r>
        <w:rPr>
          <w:rFonts w:ascii="Arial" w:hAnsi="Arial" w:cs="Arial"/>
          <w:i/>
          <w:sz w:val="20"/>
          <w:szCs w:val="20"/>
        </w:rPr>
        <w:t>Coordinación Estatal de Calidad</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II.- Coordinador General de Salud Pública</w:t>
      </w:r>
    </w:p>
    <w:p w:rsidR="00557A7A" w:rsidRPr="006E394E" w:rsidRDefault="00557A7A" w:rsidP="00557A7A">
      <w:pPr>
        <w:pStyle w:val="Prrafodelista"/>
        <w:numPr>
          <w:ilvl w:val="1"/>
          <w:numId w:val="20"/>
        </w:numPr>
        <w:jc w:val="both"/>
        <w:rPr>
          <w:rFonts w:ascii="Arial" w:hAnsi="Arial" w:cs="Arial"/>
          <w:i/>
          <w:sz w:val="20"/>
          <w:szCs w:val="20"/>
        </w:rPr>
      </w:pPr>
      <w:r w:rsidRPr="006E394E">
        <w:rPr>
          <w:rFonts w:ascii="Arial" w:hAnsi="Arial" w:cs="Arial"/>
          <w:i/>
          <w:sz w:val="20"/>
          <w:szCs w:val="20"/>
        </w:rPr>
        <w:t>Direc</w:t>
      </w:r>
      <w:r>
        <w:rPr>
          <w:rFonts w:ascii="Arial" w:hAnsi="Arial" w:cs="Arial"/>
          <w:i/>
          <w:sz w:val="20"/>
          <w:szCs w:val="20"/>
        </w:rPr>
        <w:t>ción</w:t>
      </w:r>
      <w:r w:rsidRPr="006E394E">
        <w:rPr>
          <w:rFonts w:ascii="Arial" w:hAnsi="Arial" w:cs="Arial"/>
          <w:i/>
          <w:sz w:val="20"/>
          <w:szCs w:val="20"/>
        </w:rPr>
        <w:t xml:space="preserve"> General de </w:t>
      </w:r>
      <w:r>
        <w:rPr>
          <w:rFonts w:ascii="Arial" w:hAnsi="Arial" w:cs="Arial"/>
          <w:i/>
          <w:sz w:val="20"/>
          <w:szCs w:val="20"/>
        </w:rPr>
        <w:t>Prevención y Promoción de la Salud</w:t>
      </w:r>
      <w:r w:rsidRPr="006E394E">
        <w:rPr>
          <w:rFonts w:ascii="Arial" w:hAnsi="Arial" w:cs="Arial"/>
          <w:i/>
          <w:sz w:val="20"/>
          <w:szCs w:val="20"/>
        </w:rPr>
        <w:t xml:space="preserve"> </w:t>
      </w:r>
    </w:p>
    <w:p w:rsidR="00557A7A" w:rsidRDefault="00557A7A" w:rsidP="00557A7A">
      <w:pPr>
        <w:pStyle w:val="Prrafodelista"/>
        <w:numPr>
          <w:ilvl w:val="1"/>
          <w:numId w:val="20"/>
        </w:numPr>
        <w:jc w:val="both"/>
        <w:rPr>
          <w:rFonts w:ascii="Arial" w:hAnsi="Arial" w:cs="Arial"/>
          <w:sz w:val="20"/>
          <w:szCs w:val="20"/>
        </w:rPr>
      </w:pPr>
      <w:r>
        <w:rPr>
          <w:rFonts w:ascii="Arial" w:hAnsi="Arial" w:cs="Arial"/>
          <w:sz w:val="20"/>
          <w:szCs w:val="20"/>
        </w:rPr>
        <w:t>Dirección General de Atención Médica</w:t>
      </w:r>
    </w:p>
    <w:p w:rsidR="00557A7A" w:rsidRDefault="00557A7A" w:rsidP="00557A7A">
      <w:pPr>
        <w:pStyle w:val="Prrafodelista"/>
        <w:numPr>
          <w:ilvl w:val="1"/>
          <w:numId w:val="20"/>
        </w:numPr>
        <w:jc w:val="both"/>
        <w:rPr>
          <w:rFonts w:ascii="Arial" w:hAnsi="Arial" w:cs="Arial"/>
          <w:i/>
          <w:sz w:val="20"/>
          <w:szCs w:val="20"/>
        </w:rPr>
      </w:pPr>
      <w:r w:rsidRPr="006E394E">
        <w:rPr>
          <w:rFonts w:ascii="Arial" w:hAnsi="Arial" w:cs="Arial"/>
          <w:i/>
          <w:sz w:val="20"/>
          <w:szCs w:val="20"/>
        </w:rPr>
        <w:t>Director General de Protección contra Riesgos Sanitarios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III.- Coordinador General de Administración y Finanzas</w:t>
      </w:r>
    </w:p>
    <w:p w:rsidR="00557A7A" w:rsidRPr="00F23D86" w:rsidRDefault="00557A7A" w:rsidP="00557A7A">
      <w:pPr>
        <w:pStyle w:val="Prrafodelista"/>
        <w:numPr>
          <w:ilvl w:val="1"/>
          <w:numId w:val="15"/>
        </w:numPr>
        <w:jc w:val="both"/>
        <w:rPr>
          <w:rFonts w:ascii="Arial" w:hAnsi="Arial" w:cs="Arial"/>
          <w:sz w:val="20"/>
          <w:szCs w:val="20"/>
        </w:rPr>
      </w:pPr>
      <w:r w:rsidRPr="006E394E">
        <w:rPr>
          <w:rFonts w:ascii="Arial" w:hAnsi="Arial" w:cs="Arial"/>
          <w:i/>
          <w:sz w:val="20"/>
          <w:szCs w:val="20"/>
        </w:rPr>
        <w:t>Director General de Planeación</w:t>
      </w:r>
    </w:p>
    <w:p w:rsidR="00557A7A" w:rsidRPr="00F23D86" w:rsidRDefault="00557A7A" w:rsidP="00557A7A">
      <w:pPr>
        <w:pStyle w:val="Prrafodelista"/>
        <w:numPr>
          <w:ilvl w:val="1"/>
          <w:numId w:val="15"/>
        </w:numPr>
        <w:jc w:val="both"/>
        <w:rPr>
          <w:rFonts w:ascii="Arial" w:hAnsi="Arial" w:cs="Arial"/>
          <w:sz w:val="20"/>
          <w:szCs w:val="20"/>
        </w:rPr>
      </w:pPr>
      <w:r w:rsidRPr="00F23D86">
        <w:rPr>
          <w:rFonts w:ascii="Arial" w:hAnsi="Arial" w:cs="Arial"/>
          <w:i/>
          <w:sz w:val="20"/>
          <w:szCs w:val="20"/>
        </w:rPr>
        <w:t>Director General de Administración</w:t>
      </w:r>
    </w:p>
    <w:p w:rsidR="00557A7A" w:rsidRPr="00F23D86" w:rsidRDefault="00557A7A" w:rsidP="00557A7A">
      <w:pPr>
        <w:pStyle w:val="Prrafodelista"/>
        <w:numPr>
          <w:ilvl w:val="1"/>
          <w:numId w:val="15"/>
        </w:numPr>
        <w:jc w:val="both"/>
        <w:rPr>
          <w:rFonts w:ascii="Arial" w:hAnsi="Arial" w:cs="Arial"/>
          <w:sz w:val="20"/>
          <w:szCs w:val="20"/>
        </w:rPr>
      </w:pPr>
      <w:r w:rsidRPr="00F23D86">
        <w:rPr>
          <w:rFonts w:ascii="Arial" w:hAnsi="Arial" w:cs="Arial"/>
          <w:i/>
          <w:sz w:val="20"/>
          <w:szCs w:val="20"/>
        </w:rPr>
        <w:t>Director General de Recursos Humanos</w:t>
      </w:r>
    </w:p>
    <w:p w:rsidR="00557A7A" w:rsidRPr="00F23D86" w:rsidRDefault="00557A7A" w:rsidP="00557A7A">
      <w:pPr>
        <w:pStyle w:val="Prrafodelista"/>
        <w:numPr>
          <w:ilvl w:val="1"/>
          <w:numId w:val="15"/>
        </w:numPr>
        <w:jc w:val="both"/>
        <w:rPr>
          <w:rFonts w:ascii="Arial" w:hAnsi="Arial" w:cs="Arial"/>
          <w:sz w:val="20"/>
          <w:szCs w:val="20"/>
        </w:rPr>
      </w:pPr>
      <w:r w:rsidRPr="00F23D86">
        <w:rPr>
          <w:rFonts w:ascii="Arial" w:hAnsi="Arial" w:cs="Arial"/>
          <w:i/>
          <w:sz w:val="20"/>
          <w:szCs w:val="20"/>
        </w:rPr>
        <w:t xml:space="preserve">Director General de </w:t>
      </w:r>
      <w:r>
        <w:rPr>
          <w:rFonts w:ascii="Arial" w:hAnsi="Arial" w:cs="Arial"/>
          <w:i/>
          <w:sz w:val="20"/>
          <w:szCs w:val="20"/>
        </w:rPr>
        <w:t>Recursos Materiales y Servicios Generales</w:t>
      </w:r>
    </w:p>
    <w:p w:rsidR="00557A7A" w:rsidRPr="00F23D86" w:rsidRDefault="00557A7A" w:rsidP="00557A7A">
      <w:pPr>
        <w:pStyle w:val="Prrafodelista"/>
        <w:numPr>
          <w:ilvl w:val="1"/>
          <w:numId w:val="15"/>
        </w:numPr>
        <w:jc w:val="both"/>
        <w:rPr>
          <w:rFonts w:ascii="Arial" w:hAnsi="Arial" w:cs="Arial"/>
          <w:sz w:val="20"/>
          <w:szCs w:val="20"/>
        </w:rPr>
      </w:pPr>
      <w:r>
        <w:rPr>
          <w:rFonts w:ascii="Arial" w:hAnsi="Arial" w:cs="Arial"/>
          <w:sz w:val="20"/>
          <w:szCs w:val="20"/>
        </w:rPr>
        <w:lastRenderedPageBreak/>
        <w:t>Dirección de Servicios Subrogados Médicos</w:t>
      </w:r>
    </w:p>
    <w:p w:rsidR="00557A7A" w:rsidRDefault="00557A7A" w:rsidP="00557A7A">
      <w:pPr>
        <w:pStyle w:val="Prrafodelista"/>
        <w:ind w:left="360"/>
        <w:jc w:val="both"/>
        <w:rPr>
          <w:rFonts w:ascii="Arial" w:hAnsi="Arial" w:cs="Arial"/>
          <w:b/>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I</w:t>
      </w:r>
      <w:r>
        <w:rPr>
          <w:rFonts w:ascii="Arial" w:hAnsi="Arial" w:cs="Arial"/>
          <w:b/>
          <w:sz w:val="20"/>
          <w:szCs w:val="20"/>
        </w:rPr>
        <w:t>V</w:t>
      </w:r>
      <w:r w:rsidRPr="006E394E">
        <w:rPr>
          <w:rFonts w:ascii="Arial" w:hAnsi="Arial" w:cs="Arial"/>
          <w:b/>
          <w:sz w:val="20"/>
          <w:szCs w:val="20"/>
        </w:rPr>
        <w:t xml:space="preserve">.- </w:t>
      </w:r>
      <w:r>
        <w:rPr>
          <w:rFonts w:ascii="Arial" w:hAnsi="Arial" w:cs="Arial"/>
          <w:b/>
          <w:sz w:val="20"/>
          <w:szCs w:val="20"/>
        </w:rPr>
        <w:t>Órganos Desconcentrados por Territorio</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I</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II</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III</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IV</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V</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VI</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VII</w:t>
      </w:r>
    </w:p>
    <w:p w:rsidR="00557A7A" w:rsidRPr="00F23D86" w:rsidRDefault="00557A7A" w:rsidP="00557A7A">
      <w:pPr>
        <w:pStyle w:val="Prrafodelista"/>
        <w:numPr>
          <w:ilvl w:val="1"/>
          <w:numId w:val="23"/>
        </w:numPr>
        <w:jc w:val="both"/>
        <w:rPr>
          <w:rFonts w:ascii="Arial" w:hAnsi="Arial" w:cs="Arial"/>
          <w:sz w:val="20"/>
          <w:szCs w:val="20"/>
        </w:rPr>
      </w:pPr>
      <w:r>
        <w:rPr>
          <w:rFonts w:ascii="Arial" w:hAnsi="Arial" w:cs="Arial"/>
          <w:i/>
          <w:sz w:val="20"/>
          <w:szCs w:val="20"/>
        </w:rPr>
        <w:t>Jurisdicción Sanitaria VIII</w:t>
      </w:r>
    </w:p>
    <w:p w:rsidR="00557A7A" w:rsidRDefault="00557A7A" w:rsidP="00557A7A">
      <w:pPr>
        <w:pStyle w:val="Prrafodelista"/>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V</w:t>
      </w:r>
      <w:r w:rsidRPr="006E394E">
        <w:rPr>
          <w:rFonts w:ascii="Arial" w:hAnsi="Arial" w:cs="Arial"/>
          <w:b/>
          <w:sz w:val="20"/>
          <w:szCs w:val="20"/>
        </w:rPr>
        <w:t xml:space="preserve">.- </w:t>
      </w:r>
      <w:r>
        <w:rPr>
          <w:rFonts w:ascii="Arial" w:hAnsi="Arial" w:cs="Arial"/>
          <w:b/>
          <w:sz w:val="20"/>
          <w:szCs w:val="20"/>
        </w:rPr>
        <w:t>Órganos Desconcentrados por Función</w:t>
      </w:r>
    </w:p>
    <w:p w:rsidR="00557A7A" w:rsidRPr="00F23D86" w:rsidRDefault="00557A7A" w:rsidP="00557A7A">
      <w:pPr>
        <w:pStyle w:val="Prrafodelista"/>
        <w:numPr>
          <w:ilvl w:val="1"/>
          <w:numId w:val="24"/>
        </w:numPr>
        <w:jc w:val="both"/>
        <w:rPr>
          <w:rFonts w:ascii="Arial" w:hAnsi="Arial" w:cs="Arial"/>
          <w:sz w:val="20"/>
          <w:szCs w:val="20"/>
        </w:rPr>
      </w:pPr>
      <w:r>
        <w:rPr>
          <w:rFonts w:ascii="Arial" w:hAnsi="Arial" w:cs="Arial"/>
          <w:i/>
          <w:sz w:val="20"/>
          <w:szCs w:val="20"/>
        </w:rPr>
        <w:t>Hospitales Generales</w:t>
      </w:r>
    </w:p>
    <w:p w:rsidR="00557A7A" w:rsidRPr="00F23D86" w:rsidRDefault="00557A7A" w:rsidP="00557A7A">
      <w:pPr>
        <w:pStyle w:val="Prrafodelista"/>
        <w:numPr>
          <w:ilvl w:val="1"/>
          <w:numId w:val="24"/>
        </w:numPr>
        <w:jc w:val="both"/>
        <w:rPr>
          <w:rFonts w:ascii="Arial" w:hAnsi="Arial" w:cs="Arial"/>
          <w:sz w:val="20"/>
          <w:szCs w:val="20"/>
        </w:rPr>
      </w:pPr>
      <w:r>
        <w:rPr>
          <w:rFonts w:ascii="Arial" w:hAnsi="Arial" w:cs="Arial"/>
          <w:i/>
          <w:sz w:val="20"/>
          <w:szCs w:val="20"/>
        </w:rPr>
        <w:t>Hospitales de especialidad</w:t>
      </w:r>
    </w:p>
    <w:p w:rsidR="00557A7A" w:rsidRDefault="00557A7A" w:rsidP="00557A7A">
      <w:pPr>
        <w:pStyle w:val="Prrafodelista"/>
        <w:numPr>
          <w:ilvl w:val="1"/>
          <w:numId w:val="24"/>
        </w:numPr>
        <w:jc w:val="both"/>
        <w:rPr>
          <w:rFonts w:ascii="Arial" w:hAnsi="Arial" w:cs="Arial"/>
          <w:sz w:val="20"/>
          <w:szCs w:val="20"/>
        </w:rPr>
      </w:pPr>
      <w:r>
        <w:rPr>
          <w:rFonts w:ascii="Arial" w:hAnsi="Arial" w:cs="Arial"/>
          <w:sz w:val="20"/>
          <w:szCs w:val="20"/>
        </w:rPr>
        <w:t>Unidades de apoyo</w:t>
      </w:r>
    </w:p>
    <w:p w:rsidR="00557A7A" w:rsidRPr="00F23D86" w:rsidRDefault="00557A7A" w:rsidP="00557A7A">
      <w:pPr>
        <w:pStyle w:val="Prrafodelista"/>
        <w:numPr>
          <w:ilvl w:val="1"/>
          <w:numId w:val="24"/>
        </w:numPr>
        <w:jc w:val="both"/>
        <w:rPr>
          <w:rFonts w:ascii="Arial" w:hAnsi="Arial" w:cs="Arial"/>
          <w:sz w:val="20"/>
          <w:szCs w:val="20"/>
        </w:rPr>
      </w:pPr>
      <w:r>
        <w:rPr>
          <w:rFonts w:ascii="Arial" w:hAnsi="Arial" w:cs="Arial"/>
          <w:sz w:val="20"/>
          <w:szCs w:val="20"/>
        </w:rPr>
        <w:t>Hospitales comunitarios</w:t>
      </w:r>
    </w:p>
    <w:p w:rsidR="00557A7A" w:rsidRPr="00F23D86" w:rsidRDefault="00557A7A" w:rsidP="00557A7A">
      <w:pPr>
        <w:pStyle w:val="Prrafodelista"/>
        <w:jc w:val="both"/>
        <w:rPr>
          <w:rFonts w:ascii="Arial" w:hAnsi="Arial" w:cs="Arial"/>
          <w:sz w:val="20"/>
          <w:szCs w:val="20"/>
        </w:rPr>
      </w:pPr>
    </w:p>
    <w:p w:rsidR="00557A7A" w:rsidRDefault="00557A7A" w:rsidP="00557A7A">
      <w:pPr>
        <w:pStyle w:val="Prrafodelista"/>
        <w:ind w:left="360"/>
        <w:jc w:val="both"/>
        <w:rPr>
          <w:rFonts w:ascii="Arial" w:hAnsi="Arial" w:cs="Arial"/>
          <w:b/>
          <w:sz w:val="20"/>
          <w:szCs w:val="20"/>
        </w:rPr>
      </w:pPr>
    </w:p>
    <w:p w:rsidR="00557A7A" w:rsidRDefault="00557A7A" w:rsidP="00557A7A">
      <w:pPr>
        <w:jc w:val="both"/>
        <w:rPr>
          <w:rFonts w:ascii="Arial" w:hAnsi="Arial" w:cs="Arial"/>
          <w:b/>
          <w:sz w:val="20"/>
          <w:szCs w:val="20"/>
        </w:rPr>
      </w:pPr>
      <w:r>
        <w:rPr>
          <w:rFonts w:ascii="Arial" w:hAnsi="Arial" w:cs="Arial"/>
          <w:b/>
          <w:sz w:val="20"/>
          <w:szCs w:val="20"/>
        </w:rPr>
        <w:t>VI</w:t>
      </w:r>
      <w:r w:rsidRPr="006E394E">
        <w:rPr>
          <w:rFonts w:ascii="Arial" w:hAnsi="Arial" w:cs="Arial"/>
          <w:b/>
          <w:sz w:val="20"/>
          <w:szCs w:val="20"/>
        </w:rPr>
        <w:t xml:space="preserve">.- </w:t>
      </w:r>
      <w:r>
        <w:rPr>
          <w:rFonts w:ascii="Arial" w:hAnsi="Arial" w:cs="Arial"/>
          <w:b/>
          <w:sz w:val="20"/>
          <w:szCs w:val="20"/>
        </w:rPr>
        <w:t>Órganos Interno de Control</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de Salud Pública del Estado de Guanajuato no tiene suscrito algún Fideicomiso, mandato y/o análogo.</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b/>
          <w:sz w:val="20"/>
          <w:szCs w:val="20"/>
        </w:rPr>
      </w:pPr>
      <w:r>
        <w:rPr>
          <w:rFonts w:ascii="Arial" w:hAnsi="Arial" w:cs="Arial"/>
          <w:b/>
          <w:sz w:val="20"/>
          <w:szCs w:val="20"/>
        </w:rPr>
        <w:t>4</w:t>
      </w:r>
      <w:r w:rsidRPr="006E394E">
        <w:rPr>
          <w:rFonts w:ascii="Arial" w:hAnsi="Arial" w:cs="Arial"/>
          <w:b/>
          <w:sz w:val="20"/>
          <w:szCs w:val="20"/>
        </w:rPr>
        <w:t>. Bases de Preparación de los Estados Financieros:</w:t>
      </w:r>
    </w:p>
    <w:p w:rsidR="00557A7A" w:rsidRPr="006E394E" w:rsidRDefault="00557A7A" w:rsidP="00557A7A">
      <w:pPr>
        <w:jc w:val="both"/>
        <w:rPr>
          <w:rFonts w:ascii="Arial" w:hAnsi="Arial" w:cs="Arial"/>
          <w:sz w:val="20"/>
          <w:szCs w:val="20"/>
        </w:rPr>
      </w:pPr>
      <w:r w:rsidRPr="006E394E">
        <w:rPr>
          <w:rFonts w:ascii="Arial" w:hAnsi="Arial" w:cs="Arial"/>
          <w:sz w:val="20"/>
          <w:szCs w:val="20"/>
        </w:rPr>
        <w:t>Se informará sobre:</w:t>
      </w: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Si se ha observado la normatividad emitida por el CONAC y las disposiciones legales aplicables.</w:t>
      </w:r>
    </w:p>
    <w:p w:rsidR="00557A7A" w:rsidRDefault="00557A7A" w:rsidP="00557A7A">
      <w:pPr>
        <w:jc w:val="both"/>
        <w:rPr>
          <w:rFonts w:ascii="Arial" w:hAnsi="Arial" w:cs="Arial"/>
          <w:sz w:val="20"/>
          <w:szCs w:val="20"/>
        </w:rPr>
      </w:pPr>
      <w:r w:rsidRPr="006E394E">
        <w:rPr>
          <w:rFonts w:ascii="Arial" w:hAnsi="Arial" w:cs="Arial"/>
          <w:sz w:val="20"/>
          <w:szCs w:val="20"/>
        </w:rPr>
        <w:t xml:space="preserve">Los Estados Financieros del Instituto de </w:t>
      </w:r>
      <w:r>
        <w:rPr>
          <w:rFonts w:ascii="Arial" w:hAnsi="Arial" w:cs="Arial"/>
          <w:sz w:val="20"/>
          <w:szCs w:val="20"/>
        </w:rPr>
        <w:t>S</w:t>
      </w:r>
      <w:r w:rsidRPr="006E394E">
        <w:rPr>
          <w:rFonts w:ascii="Arial" w:hAnsi="Arial" w:cs="Arial"/>
          <w:sz w:val="20"/>
          <w:szCs w:val="20"/>
        </w:rPr>
        <w:t>alud Pública del Estado de Guanaj</w:t>
      </w:r>
      <w:r>
        <w:rPr>
          <w:rFonts w:ascii="Arial" w:hAnsi="Arial" w:cs="Arial"/>
          <w:sz w:val="20"/>
          <w:szCs w:val="20"/>
        </w:rPr>
        <w:t>uato, correspondientes al primer</w:t>
      </w:r>
      <w:r w:rsidRPr="00B62E5D">
        <w:rPr>
          <w:rFonts w:ascii="Arial" w:hAnsi="Arial" w:cs="Arial"/>
          <w:sz w:val="20"/>
          <w:szCs w:val="20"/>
        </w:rPr>
        <w:t xml:space="preserve"> trimestre</w:t>
      </w:r>
      <w:r>
        <w:rPr>
          <w:rFonts w:ascii="Arial" w:hAnsi="Arial" w:cs="Arial"/>
          <w:sz w:val="20"/>
          <w:szCs w:val="20"/>
        </w:rPr>
        <w:t xml:space="preserve"> </w:t>
      </w:r>
      <w:r w:rsidRPr="00B62E5D">
        <w:rPr>
          <w:rFonts w:ascii="Arial" w:hAnsi="Arial" w:cs="Arial"/>
          <w:sz w:val="20"/>
          <w:szCs w:val="20"/>
        </w:rPr>
        <w:t>del</w:t>
      </w:r>
      <w:r w:rsidRPr="006E394E">
        <w:rPr>
          <w:rFonts w:ascii="Arial" w:hAnsi="Arial" w:cs="Arial"/>
          <w:sz w:val="20"/>
          <w:szCs w:val="20"/>
        </w:rPr>
        <w:t xml:space="preserve"> presente año</w:t>
      </w:r>
      <w:r>
        <w:rPr>
          <w:rFonts w:ascii="Arial" w:hAnsi="Arial" w:cs="Arial"/>
          <w:sz w:val="20"/>
          <w:szCs w:val="20"/>
        </w:rPr>
        <w:t xml:space="preserve"> y que conformarán la cuenta pública</w:t>
      </w:r>
      <w:r w:rsidRPr="006E394E">
        <w:rPr>
          <w:rFonts w:ascii="Arial" w:hAnsi="Arial" w:cs="Arial"/>
          <w:sz w:val="20"/>
          <w:szCs w:val="20"/>
        </w:rPr>
        <w:t>, fueron emitidos de acuerdo a lo establecido en el Manual de Contabilidad Gubernamental, específicamente en el Capítulo VII “De Los Estados e Informes Contables, Presupuestarios, Programáticos y de los Indicadores de Postura Fiscal”, proporcionando información sobre La Situación Financiera, Los Resultados de la Gestión, Los Flujos de Efectivo, y sobre el Ejercicio de la Ley de Ingresos y del Presupuesto de Egresos, así como de la postura fiscal del ISAPEG.</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En la elaboración de los Estados Financieros del Instituto de Salud Pública del Estado de Guanajuato, para efectos del reconocimiento, valuación y revelación de los diferentes rubros de la información financiera se tomó como base de medición el costo histórico de todos los eventos que afectaron económicamente al Instituto, cuantificados en términos monetarios y registrados en moneda nacional.</w:t>
      </w:r>
      <w:r>
        <w:rPr>
          <w:rFonts w:ascii="Arial" w:hAnsi="Arial" w:cs="Arial"/>
          <w:sz w:val="20"/>
          <w:szCs w:val="20"/>
        </w:rPr>
        <w:t xml:space="preserve"> A partir del ejercicio 2026, la depreciación se realiza de manera trimestral.</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El costo histórico de las operaciones corresponde al monto erogado para su adquisición conforme a la documentación contable original justificativa y comprobatoria.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Lo anterior de acuerdo a lo establecido en el Postulado Básico de Contabilidad Gubernamental:</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IX.- Valuación.</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Postulados básicos.</w:t>
      </w:r>
    </w:p>
    <w:p w:rsidR="00557A7A" w:rsidRDefault="00557A7A" w:rsidP="00557A7A">
      <w:pPr>
        <w:jc w:val="both"/>
        <w:rPr>
          <w:rFonts w:ascii="Arial" w:hAnsi="Arial" w:cs="Arial"/>
          <w:sz w:val="20"/>
          <w:szCs w:val="20"/>
        </w:rPr>
      </w:pPr>
      <w:r w:rsidRPr="006E394E">
        <w:rPr>
          <w:rFonts w:ascii="Arial" w:hAnsi="Arial" w:cs="Arial"/>
          <w:sz w:val="20"/>
          <w:szCs w:val="20"/>
        </w:rPr>
        <w:t>El Marco Conceptual de Contabilidad Gubernamental (MCCG), es la base del Sistema de Contabilidad Gubernamental del Instituto, constituyéndose en el referente teórico que define, delimita, interrelaciona e integra de forma lógico-deductiva sus objetivos y fundamentos. Además</w:t>
      </w:r>
      <w:r>
        <w:rPr>
          <w:rFonts w:ascii="Arial" w:hAnsi="Arial" w:cs="Arial"/>
          <w:sz w:val="20"/>
          <w:szCs w:val="20"/>
        </w:rPr>
        <w:t>,</w:t>
      </w:r>
      <w:r w:rsidRPr="006E394E">
        <w:rPr>
          <w:rFonts w:ascii="Arial" w:hAnsi="Arial" w:cs="Arial"/>
          <w:sz w:val="20"/>
          <w:szCs w:val="20"/>
        </w:rPr>
        <w:t xml:space="preserve"> establece los criterios necesarios para el desarrollo de normas, valuación, contabilización, obtención y presentación de información contable y presupuestaria, en forma clara, oportuna, confiable y comparable, para satisfacer las necesidades de los usuarios.</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Los Postulados Básicos de Contabilidad Gubernamental y el Sistema Electrónico de Contabilidad Gubernamental (SAP </w:t>
      </w:r>
      <w:r>
        <w:rPr>
          <w:rFonts w:ascii="Arial" w:hAnsi="Arial" w:cs="Arial"/>
          <w:sz w:val="20"/>
          <w:szCs w:val="20"/>
        </w:rPr>
        <w:t>S4/HANA</w:t>
      </w:r>
      <w:r w:rsidRPr="006E394E">
        <w:rPr>
          <w:rFonts w:ascii="Arial" w:hAnsi="Arial" w:cs="Arial"/>
          <w:sz w:val="20"/>
          <w:szCs w:val="20"/>
        </w:rPr>
        <w:t>) utilizado por el Instituto para el registro sistemático de las operaciones económicas, son piezas fundamentales del Marco Conceptual de Contabilidad Gubernamental.</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Los Postulados Básicos de Contabilidad Gubernamental, son los elementos fundamentales que configuran el Sistema de Contabilidad Gubernamental del Instituto, teniendo incidencia en la identificación, el análisis, la interpretación, la captación, el procesamiento y el reconocimiento de las transformaciones, transacciones y otros eventos que afecten económicamente al Instituto.</w:t>
      </w:r>
    </w:p>
    <w:p w:rsidR="00557A7A" w:rsidRPr="006E394E" w:rsidRDefault="00557A7A" w:rsidP="00557A7A">
      <w:pPr>
        <w:jc w:val="both"/>
        <w:rPr>
          <w:rFonts w:ascii="Arial" w:hAnsi="Arial" w:cs="Arial"/>
          <w:sz w:val="20"/>
          <w:szCs w:val="20"/>
          <w:u w:val="single"/>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Los Postulados sustentan de manera técnica el registro de las operaciones, la elaboración y presentación de los estados financieros del Instituto; basados en su razonamiento, eficiencia demostrada, respaldo en legislación especializada y aplicación de la Ley General de Contabilidad Gubernamental, con la finalidad de uniformar los métodos, procedimientos y prácticas contables utilizadas en el Instituto.</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de Salud Pública del Estado de Guanajuato, no utilizó normatividad supletoria en el registro de sus operaciones, ni en la elaboración de los Estados Financieros.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Para las entidades que por primera vez estén implementando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deberán:</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*Revelar las nuevas políticas de reconocimiento:</w:t>
      </w:r>
    </w:p>
    <w:p w:rsidR="00557A7A" w:rsidRPr="006E394E" w:rsidRDefault="00557A7A" w:rsidP="00557A7A">
      <w:pPr>
        <w:jc w:val="both"/>
        <w:rPr>
          <w:rFonts w:ascii="Arial" w:hAnsi="Arial" w:cs="Arial"/>
          <w:sz w:val="20"/>
          <w:szCs w:val="20"/>
        </w:rPr>
      </w:pPr>
      <w:r w:rsidRPr="006E394E">
        <w:rPr>
          <w:rFonts w:ascii="Arial" w:hAnsi="Arial" w:cs="Arial"/>
          <w:sz w:val="20"/>
          <w:szCs w:val="20"/>
        </w:rPr>
        <w:t xml:space="preserve">El Instituto implementó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Gubernamental a partir del ejercicio 2011. </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*Plan de implementación:</w:t>
      </w:r>
    </w:p>
    <w:p w:rsidR="00557A7A" w:rsidRDefault="00557A7A" w:rsidP="00557A7A">
      <w:pPr>
        <w:jc w:val="both"/>
        <w:rPr>
          <w:rFonts w:ascii="Arial" w:hAnsi="Arial" w:cs="Arial"/>
          <w:sz w:val="20"/>
          <w:szCs w:val="20"/>
        </w:rPr>
      </w:pPr>
      <w:r w:rsidRPr="006E394E">
        <w:rPr>
          <w:rFonts w:ascii="Arial" w:hAnsi="Arial" w:cs="Arial"/>
          <w:sz w:val="20"/>
          <w:szCs w:val="20"/>
        </w:rPr>
        <w:t xml:space="preserve">El Instituto, implementó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Gubernamental desde el ejercicio 2011.</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*Revelar los cambios en las políticas, la clasificación y medición de las mismas, así como su impacto en la información financiera:</w:t>
      </w:r>
    </w:p>
    <w:p w:rsidR="00557A7A" w:rsidRDefault="00557A7A" w:rsidP="00557A7A">
      <w:pPr>
        <w:jc w:val="both"/>
        <w:rPr>
          <w:rFonts w:ascii="Arial" w:hAnsi="Arial" w:cs="Arial"/>
          <w:sz w:val="20"/>
          <w:szCs w:val="20"/>
        </w:rPr>
      </w:pPr>
      <w:r w:rsidRPr="006E394E">
        <w:rPr>
          <w:rFonts w:ascii="Arial" w:hAnsi="Arial" w:cs="Arial"/>
          <w:sz w:val="20"/>
          <w:szCs w:val="20"/>
        </w:rPr>
        <w:lastRenderedPageBreak/>
        <w:t xml:space="preserve">El Instituto implementó </w:t>
      </w:r>
      <w:proofErr w:type="gramStart"/>
      <w:r w:rsidRPr="006E394E">
        <w:rPr>
          <w:rFonts w:ascii="Arial" w:hAnsi="Arial" w:cs="Arial"/>
          <w:sz w:val="20"/>
          <w:szCs w:val="20"/>
        </w:rPr>
        <w:t>la base devengado</w:t>
      </w:r>
      <w:proofErr w:type="gramEnd"/>
      <w:r w:rsidRPr="006E394E">
        <w:rPr>
          <w:rFonts w:ascii="Arial" w:hAnsi="Arial" w:cs="Arial"/>
          <w:sz w:val="20"/>
          <w:szCs w:val="20"/>
        </w:rPr>
        <w:t xml:space="preserve"> de acuerdo a la Ley de Contabilidad Gubernamental a partir del ejercicio 2011, lo que permitió que la información financiera plasmada en los Estados Financieros pueda ser comparada tomando como base las cifras del citado ejercicio contra los subsecuentes. </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5</w:t>
      </w:r>
      <w:r w:rsidRPr="006E394E">
        <w:rPr>
          <w:rFonts w:ascii="Arial" w:hAnsi="Arial" w:cs="Arial"/>
          <w:b/>
          <w:sz w:val="20"/>
          <w:szCs w:val="20"/>
        </w:rPr>
        <w:t>. Políticas de Contabilidad Significativas:</w:t>
      </w:r>
    </w:p>
    <w:p w:rsidR="00557A7A" w:rsidRPr="006E394E" w:rsidRDefault="00557A7A" w:rsidP="00557A7A">
      <w:pPr>
        <w:jc w:val="both"/>
        <w:rPr>
          <w:rFonts w:ascii="Arial" w:hAnsi="Arial" w:cs="Arial"/>
          <w:sz w:val="20"/>
          <w:szCs w:val="20"/>
        </w:rPr>
      </w:pPr>
      <w:r w:rsidRPr="006E394E">
        <w:rPr>
          <w:rFonts w:ascii="Arial" w:hAnsi="Arial" w:cs="Arial"/>
          <w:sz w:val="20"/>
          <w:szCs w:val="20"/>
        </w:rPr>
        <w:t>Se informará sobre:</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ha realizado actualizaciones del valor de los activos, pasivos y Hacienda Pública/Patrimonio.</w:t>
      </w: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Informar sobre la realización de operaciones en el extranjero y de sus efectos en la información financiera gubernamental:</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realiza operaciones en el extranjero.</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Método de valuación de la inversión en acciones de Compañías subsidiarias no consolidadas y asociadas:</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tiene inversiones en acciones de Compañías subsidiarias no consolidadas y asociadas.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Sistema y método de valuación de inventarios y costo de lo vendido:</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es una Persona Moral Sin Fines de Lucro, que presta servicios de salud, y no se dedica a la compra-venta de bienes y servicios.</w:t>
      </w:r>
    </w:p>
    <w:p w:rsidR="00557A7A" w:rsidRDefault="00557A7A" w:rsidP="00557A7A">
      <w:pPr>
        <w:jc w:val="both"/>
        <w:rPr>
          <w:rFonts w:ascii="Arial" w:hAnsi="Arial" w:cs="Arial"/>
          <w:b/>
          <w:sz w:val="20"/>
          <w:szCs w:val="20"/>
        </w:rPr>
      </w:pPr>
    </w:p>
    <w:p w:rsidR="00557A7A" w:rsidRDefault="00557A7A" w:rsidP="00557A7A">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beneficiarios actuales como futuros: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tiene reserva actuarial.</w:t>
      </w: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Provisiones: objetivo de su creación, monto y plazo:</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Provisiones registradas en su contabilidad.</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g)</w:t>
      </w:r>
      <w:r w:rsidRPr="006E394E">
        <w:rPr>
          <w:rFonts w:ascii="Arial" w:hAnsi="Arial" w:cs="Arial"/>
          <w:sz w:val="20"/>
          <w:szCs w:val="20"/>
        </w:rPr>
        <w:t xml:space="preserve"> Reservas: objetivo de su creación, monto y plazo:</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Reservas registradas en su contabilidad.</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h)</w:t>
      </w:r>
      <w:r w:rsidRPr="006E394E">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 xml:space="preserve">El Instituto realizó cambios en políticas contables a partir del 01 de enero de 2011, fecha en la cual se implementaron en el Sistema de Contabilidad Electrónico todas las adecuaciones necesarias para cumplir con los registros contables de los momentos contables y presupuestales en tiempo real y en línea de todas las unidades responsables que integran los Órganos Desconcentrados por Territorio (Jurisdicciones Sanitarias) y Función (Hospitales y Unidades Médicas), para efectos de cumplir con lo establecido en la Ley General de Contabilidad Gubernamental y la Armonización Contable indicada por el Consejo Nacional de Armonización Contable. </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Pr>
          <w:rFonts w:ascii="Arial" w:hAnsi="Arial" w:cs="Arial"/>
          <w:sz w:val="20"/>
          <w:szCs w:val="20"/>
        </w:rPr>
        <w:t>En el presente ejercicio se reciben insumos en especie en el Almacén.</w:t>
      </w:r>
    </w:p>
    <w:p w:rsidR="00557A7A" w:rsidRDefault="00557A7A" w:rsidP="00557A7A">
      <w:pPr>
        <w:jc w:val="both"/>
        <w:rPr>
          <w:rFonts w:ascii="Arial" w:hAnsi="Arial" w:cs="Arial"/>
          <w:sz w:val="20"/>
          <w:szCs w:val="20"/>
        </w:rPr>
      </w:pPr>
      <w:r w:rsidRPr="005A64CF">
        <w:rPr>
          <w:rFonts w:ascii="Arial" w:hAnsi="Arial" w:cs="Arial"/>
          <w:sz w:val="20"/>
          <w:szCs w:val="20"/>
        </w:rPr>
        <w:lastRenderedPageBreak/>
        <w:t>Así mismo, se modifica la estructura de las cuentas bancarias para el presente ejercicio.</w:t>
      </w:r>
    </w:p>
    <w:p w:rsidR="00557A7A" w:rsidRDefault="00557A7A" w:rsidP="00557A7A">
      <w:pPr>
        <w:jc w:val="both"/>
        <w:rPr>
          <w:rFonts w:ascii="Arial" w:hAnsi="Arial" w:cs="Arial"/>
          <w:sz w:val="20"/>
          <w:szCs w:val="20"/>
        </w:rPr>
      </w:pPr>
    </w:p>
    <w:p w:rsidR="00557A7A" w:rsidRPr="00DE64AF" w:rsidRDefault="00557A7A" w:rsidP="00557A7A">
      <w:pPr>
        <w:jc w:val="both"/>
        <w:rPr>
          <w:rFonts w:ascii="Arial" w:hAnsi="Arial" w:cs="Arial"/>
          <w:sz w:val="20"/>
          <w:szCs w:val="20"/>
        </w:rPr>
      </w:pPr>
      <w:r w:rsidRPr="00DE64AF">
        <w:rPr>
          <w:rFonts w:ascii="Arial" w:hAnsi="Arial" w:cs="Arial"/>
          <w:b/>
          <w:sz w:val="20"/>
          <w:szCs w:val="20"/>
        </w:rPr>
        <w:t>i)</w:t>
      </w:r>
      <w:r w:rsidRPr="00DE64AF">
        <w:rPr>
          <w:rFonts w:ascii="Arial" w:hAnsi="Arial" w:cs="Arial"/>
          <w:sz w:val="20"/>
          <w:szCs w:val="20"/>
        </w:rPr>
        <w:t xml:space="preserve"> Reclasificaciones: Se deben revelar todos aquellos movimientos entre cuentas por efectos de cambios en los tipos de operaciones:</w:t>
      </w:r>
    </w:p>
    <w:p w:rsidR="00557A7A" w:rsidRPr="00DE64AF" w:rsidRDefault="00557A7A" w:rsidP="00557A7A">
      <w:pPr>
        <w:jc w:val="both"/>
        <w:rPr>
          <w:rFonts w:ascii="Arial" w:hAnsi="Arial" w:cs="Arial"/>
          <w:sz w:val="20"/>
          <w:szCs w:val="20"/>
        </w:rPr>
      </w:pPr>
      <w:r w:rsidRPr="00DE64AF">
        <w:rPr>
          <w:rFonts w:ascii="Arial" w:hAnsi="Arial" w:cs="Arial"/>
          <w:sz w:val="20"/>
          <w:szCs w:val="20"/>
        </w:rPr>
        <w:t>El Instituto al inicio del ejercicio solicita a la Secretaría de Finanzas, la autorización del presupuesto anual, razón por la cual no se contemplan cambios en los tipos de operaciones.</w:t>
      </w:r>
    </w:p>
    <w:p w:rsidR="00557A7A" w:rsidRPr="00DE64AF" w:rsidRDefault="00557A7A" w:rsidP="00557A7A">
      <w:pPr>
        <w:jc w:val="both"/>
        <w:rPr>
          <w:rFonts w:ascii="Arial" w:hAnsi="Arial" w:cs="Arial"/>
          <w:sz w:val="20"/>
          <w:szCs w:val="20"/>
        </w:rPr>
      </w:pPr>
    </w:p>
    <w:p w:rsidR="00557A7A" w:rsidRPr="00DE64AF" w:rsidRDefault="00557A7A" w:rsidP="00557A7A">
      <w:pPr>
        <w:jc w:val="both"/>
        <w:rPr>
          <w:rFonts w:ascii="Arial" w:hAnsi="Arial" w:cs="Arial"/>
          <w:sz w:val="20"/>
          <w:szCs w:val="20"/>
        </w:rPr>
      </w:pPr>
      <w:r w:rsidRPr="00DE64AF">
        <w:rPr>
          <w:rFonts w:ascii="Arial" w:hAnsi="Arial" w:cs="Arial"/>
          <w:b/>
          <w:sz w:val="20"/>
          <w:szCs w:val="20"/>
        </w:rPr>
        <w:t>j)</w:t>
      </w:r>
      <w:r w:rsidRPr="00DE64AF">
        <w:rPr>
          <w:rFonts w:ascii="Arial" w:hAnsi="Arial" w:cs="Arial"/>
          <w:sz w:val="20"/>
          <w:szCs w:val="20"/>
        </w:rPr>
        <w:t xml:space="preserve"> Depuración y cancelación de saldos:</w:t>
      </w:r>
    </w:p>
    <w:p w:rsidR="00557A7A" w:rsidRDefault="00557A7A" w:rsidP="00557A7A">
      <w:pPr>
        <w:jc w:val="both"/>
        <w:rPr>
          <w:rFonts w:ascii="Arial" w:hAnsi="Arial" w:cs="Arial"/>
          <w:sz w:val="20"/>
          <w:szCs w:val="20"/>
        </w:rPr>
      </w:pPr>
      <w:r w:rsidRPr="00DE64AF">
        <w:rPr>
          <w:rFonts w:ascii="Arial" w:hAnsi="Arial" w:cs="Arial"/>
          <w:sz w:val="20"/>
          <w:szCs w:val="20"/>
        </w:rPr>
        <w:t>El Instituto está llevando a cabo un análisis de todas las cuentas necesarias para el registro contable de las operaciones contables y presupuestarias, ya sean de activo, pasivo, Hacienda Pública o Patrimonio, y de resultados.</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6</w:t>
      </w:r>
      <w:r w:rsidRPr="006E394E">
        <w:rPr>
          <w:rFonts w:ascii="Arial" w:hAnsi="Arial" w:cs="Arial"/>
          <w:b/>
          <w:sz w:val="20"/>
          <w:szCs w:val="20"/>
        </w:rPr>
        <w:t>. Posición en Moneda Extranjera y Protección por Riesgo Cambiario:</w:t>
      </w:r>
    </w:p>
    <w:p w:rsidR="00557A7A" w:rsidRPr="006E394E" w:rsidRDefault="00557A7A" w:rsidP="00557A7A">
      <w:pPr>
        <w:jc w:val="both"/>
        <w:rPr>
          <w:rFonts w:ascii="Arial" w:hAnsi="Arial" w:cs="Arial"/>
          <w:sz w:val="20"/>
          <w:szCs w:val="20"/>
        </w:rPr>
      </w:pPr>
      <w:r w:rsidRPr="006E394E">
        <w:rPr>
          <w:rFonts w:ascii="Arial" w:hAnsi="Arial" w:cs="Arial"/>
          <w:sz w:val="20"/>
          <w:szCs w:val="20"/>
        </w:rPr>
        <w:t>Se informará sobre:</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Activos en moneda extranjera:</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cuenta con activos valuados en moneda extranjera.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Pasivos en moneda extranjera:</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contrae obligaciones en moneda extranjera.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 xml:space="preserve">c) </w:t>
      </w:r>
      <w:r w:rsidRPr="006E394E">
        <w:rPr>
          <w:rFonts w:ascii="Arial" w:hAnsi="Arial" w:cs="Arial"/>
          <w:sz w:val="20"/>
          <w:szCs w:val="20"/>
        </w:rPr>
        <w:t>Posición en moneda extranjera:</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Tipo de cambio:</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 xml:space="preserve">e) </w:t>
      </w:r>
      <w:r w:rsidRPr="006E394E">
        <w:rPr>
          <w:rFonts w:ascii="Arial" w:hAnsi="Arial" w:cs="Arial"/>
          <w:sz w:val="20"/>
          <w:szCs w:val="20"/>
        </w:rPr>
        <w:t>Equivalente en moneda nacional:</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tiene cuentas en moneda extranjera.</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7</w:t>
      </w:r>
      <w:r w:rsidRPr="006E394E">
        <w:rPr>
          <w:rFonts w:ascii="Arial" w:hAnsi="Arial" w:cs="Arial"/>
          <w:b/>
          <w:sz w:val="20"/>
          <w:szCs w:val="20"/>
        </w:rPr>
        <w:t>. Reporte Analítico del Activo:</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Debe mostrar la siguiente información:</w:t>
      </w:r>
    </w:p>
    <w:p w:rsidR="00557A7A" w:rsidRPr="00F93F0E" w:rsidRDefault="00557A7A" w:rsidP="00557A7A">
      <w:pPr>
        <w:pStyle w:val="Prrafodelista"/>
        <w:numPr>
          <w:ilvl w:val="1"/>
          <w:numId w:val="19"/>
        </w:numPr>
        <w:jc w:val="both"/>
        <w:rPr>
          <w:rFonts w:ascii="Arial" w:hAnsi="Arial" w:cs="Arial"/>
          <w:sz w:val="20"/>
          <w:szCs w:val="20"/>
        </w:rPr>
      </w:pPr>
      <w:r w:rsidRPr="00F93F0E">
        <w:rPr>
          <w:rFonts w:ascii="Arial" w:hAnsi="Arial" w:cs="Arial"/>
          <w:sz w:val="20"/>
          <w:szCs w:val="20"/>
        </w:rPr>
        <w:t>Vida útil o porcentajes de depreciación, deterioro o amortización utilizados en los diferentes tipos de activos:</w:t>
      </w:r>
    </w:p>
    <w:p w:rsidR="00557A7A" w:rsidRPr="00F93F0E" w:rsidRDefault="00557A7A" w:rsidP="00557A7A">
      <w:pPr>
        <w:pStyle w:val="Prrafodelista"/>
        <w:jc w:val="both"/>
        <w:rPr>
          <w:rFonts w:ascii="Arial" w:hAnsi="Arial" w:cs="Arial"/>
          <w:sz w:val="20"/>
          <w:szCs w:val="20"/>
        </w:rPr>
      </w:pP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bookmarkEnd w:id="2"/>
    <w:p w:rsidR="001F55D9" w:rsidRPr="00F93F0E" w:rsidRDefault="001F55D9" w:rsidP="001F55D9">
      <w:pPr>
        <w:pStyle w:val="Prrafodelista"/>
        <w:jc w:val="both"/>
        <w:rPr>
          <w:rFonts w:ascii="Arial" w:hAnsi="Arial" w:cs="Arial"/>
          <w:sz w:val="20"/>
          <w:szCs w:val="20"/>
        </w:rPr>
      </w:pPr>
    </w:p>
    <w:p w:rsidR="001F55D9" w:rsidRDefault="001F55D9" w:rsidP="001F55D9">
      <w:pPr>
        <w:jc w:val="both"/>
        <w:rPr>
          <w:rFonts w:ascii="Arial" w:hAnsi="Arial" w:cs="Arial"/>
          <w:sz w:val="20"/>
          <w:szCs w:val="20"/>
        </w:rPr>
      </w:pPr>
    </w:p>
    <w:p w:rsidR="00B47A29" w:rsidRPr="006E394E" w:rsidRDefault="00B47A29" w:rsidP="001F55D9">
      <w:pPr>
        <w:jc w:val="both"/>
        <w:rPr>
          <w:rFonts w:ascii="Arial" w:hAnsi="Arial" w:cs="Arial"/>
          <w:sz w:val="20"/>
          <w:szCs w:val="20"/>
        </w:rPr>
      </w:pP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8"/>
        <w:gridCol w:w="1167"/>
        <w:gridCol w:w="1175"/>
        <w:gridCol w:w="4195"/>
        <w:gridCol w:w="1134"/>
        <w:gridCol w:w="992"/>
      </w:tblGrid>
      <w:tr w:rsidR="001F55D9" w:rsidRPr="00FE4E32" w:rsidTr="001F55D9">
        <w:trPr>
          <w:trHeight w:val="900"/>
        </w:trPr>
        <w:tc>
          <w:tcPr>
            <w:tcW w:w="1128"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lastRenderedPageBreak/>
              <w:t>Tipo de Bien</w:t>
            </w:r>
          </w:p>
        </w:tc>
        <w:tc>
          <w:tcPr>
            <w:tcW w:w="1167"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Bienes Muebles/</w:t>
            </w:r>
            <w:r w:rsidRPr="00FE4E32">
              <w:rPr>
                <w:rFonts w:asciiTheme="minorHAnsi" w:hAnsiTheme="minorHAnsi" w:cs="Arial"/>
                <w:b/>
                <w:bCs/>
                <w:color w:val="000000"/>
                <w:sz w:val="16"/>
                <w:szCs w:val="16"/>
              </w:rPr>
              <w:br/>
              <w:t>Inmuebles</w:t>
            </w:r>
            <w:r w:rsidRPr="00FE4E32">
              <w:rPr>
                <w:rFonts w:asciiTheme="minorHAnsi" w:hAnsiTheme="minorHAnsi" w:cs="Arial"/>
                <w:b/>
                <w:bCs/>
                <w:color w:val="000000"/>
                <w:sz w:val="16"/>
                <w:szCs w:val="16"/>
              </w:rPr>
              <w:br/>
              <w:t>Neto</w:t>
            </w:r>
          </w:p>
        </w:tc>
        <w:tc>
          <w:tcPr>
            <w:tcW w:w="1175"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C</w:t>
            </w:r>
            <w:r>
              <w:rPr>
                <w:rFonts w:asciiTheme="minorHAnsi" w:hAnsiTheme="minorHAnsi" w:cs="Arial"/>
                <w:b/>
                <w:bCs/>
                <w:color w:val="000000"/>
                <w:sz w:val="16"/>
                <w:szCs w:val="16"/>
              </w:rPr>
              <w:t>uenta</w:t>
            </w:r>
            <w:r w:rsidRPr="00FE4E32">
              <w:rPr>
                <w:rFonts w:asciiTheme="minorHAnsi" w:hAnsiTheme="minorHAnsi" w:cs="Arial"/>
                <w:b/>
                <w:bCs/>
                <w:color w:val="000000"/>
                <w:sz w:val="16"/>
                <w:szCs w:val="16"/>
              </w:rPr>
              <w:t xml:space="preserve"> de Mayor</w:t>
            </w:r>
          </w:p>
        </w:tc>
        <w:tc>
          <w:tcPr>
            <w:tcW w:w="4195"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Clasificación en los Estados Financieros</w:t>
            </w:r>
          </w:p>
        </w:tc>
        <w:tc>
          <w:tcPr>
            <w:tcW w:w="1134"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 Depreciación Anual</w:t>
            </w:r>
          </w:p>
        </w:tc>
        <w:tc>
          <w:tcPr>
            <w:tcW w:w="992" w:type="dxa"/>
            <w:shd w:val="clear" w:color="000000" w:fill="BFBFBF"/>
            <w:vAlign w:val="center"/>
            <w:hideMark/>
          </w:tcPr>
          <w:p w:rsidR="001F55D9" w:rsidRPr="00FE4E32" w:rsidRDefault="001F55D9" w:rsidP="001F55D9">
            <w:pPr>
              <w:jc w:val="center"/>
              <w:rPr>
                <w:rFonts w:asciiTheme="minorHAnsi" w:hAnsiTheme="minorHAnsi" w:cs="Arial"/>
                <w:b/>
                <w:bCs/>
                <w:color w:val="000000"/>
                <w:sz w:val="16"/>
                <w:szCs w:val="16"/>
              </w:rPr>
            </w:pPr>
            <w:r w:rsidRPr="00FE4E32">
              <w:rPr>
                <w:rFonts w:asciiTheme="minorHAnsi" w:hAnsiTheme="minorHAnsi" w:cs="Arial"/>
                <w:b/>
                <w:bCs/>
                <w:color w:val="000000"/>
                <w:sz w:val="16"/>
                <w:szCs w:val="16"/>
              </w:rPr>
              <w:t>Años vida útil</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1231581001</w:t>
            </w:r>
          </w:p>
        </w:tc>
        <w:tc>
          <w:tcPr>
            <w:tcW w:w="4195" w:type="dxa"/>
            <w:shd w:val="clear" w:color="auto" w:fill="auto"/>
            <w:noWrap/>
            <w:vAlign w:val="bottom"/>
            <w:hideMark/>
          </w:tcPr>
          <w:p w:rsidR="001F55D9" w:rsidRPr="00FE4E32" w:rsidRDefault="001F55D9" w:rsidP="001F55D9">
            <w:pPr>
              <w:rPr>
                <w:rFonts w:asciiTheme="minorHAnsi" w:hAnsiTheme="minorHAnsi" w:cs="Arial"/>
                <w:sz w:val="16"/>
                <w:szCs w:val="16"/>
              </w:rPr>
            </w:pPr>
            <w:r w:rsidRPr="00FE4E32">
              <w:rPr>
                <w:rFonts w:asciiTheme="minorHAnsi" w:hAnsiTheme="minorHAnsi" w:cs="Arial"/>
                <w:sz w:val="16"/>
                <w:szCs w:val="16"/>
              </w:rPr>
              <w:t>TERRENOS A VALOR HISTORICO</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1233583001</w:t>
            </w:r>
          </w:p>
        </w:tc>
        <w:tc>
          <w:tcPr>
            <w:tcW w:w="4195" w:type="dxa"/>
            <w:shd w:val="clear" w:color="auto" w:fill="auto"/>
            <w:noWrap/>
            <w:vAlign w:val="bottom"/>
            <w:hideMark/>
          </w:tcPr>
          <w:p w:rsidR="001F55D9" w:rsidRPr="00FE4E32" w:rsidRDefault="001F55D9" w:rsidP="001F55D9">
            <w:pPr>
              <w:rPr>
                <w:rFonts w:asciiTheme="minorHAnsi" w:hAnsiTheme="minorHAnsi" w:cs="Arial"/>
                <w:sz w:val="16"/>
                <w:szCs w:val="16"/>
              </w:rPr>
            </w:pPr>
            <w:r w:rsidRPr="00FE4E32">
              <w:rPr>
                <w:rFonts w:asciiTheme="minorHAnsi" w:hAnsiTheme="minorHAnsi" w:cs="Arial"/>
                <w:sz w:val="16"/>
                <w:szCs w:val="16"/>
              </w:rPr>
              <w:t>EDIFICIOS A VALOR HISTORICO</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1235</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1235261200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Edificación no habitacional</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1236200001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EN BIENES PROPIOS</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1236200002</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BIENES PROPIOS AL CIERRE</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1236262200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Edificación no habitacional</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123</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1236962001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CONSTRUCCIONES EN PROCESO BIENES PROPIOS EJER ANT</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1241151100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MUEBLES DE OFICINA Y ESTANTERÍA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1241151101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MUEBLES DE OFICINA Y ESTANTERÍA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1241251200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MUEBLES, EXCEPTO DE OFICINA Y ESTANTERÍA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1241351500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CÓMP. Y DE TECNOLOGÍAS DE LA INFORMACI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33%</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1241351501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CÓMP. Y DE TECNOLOGÍAS DE LA INFORMACI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33%</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3</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1241951900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MOBILIARIOS Y EQUIPOS DE ADMINISTRACIÓN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1241951901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MOBILIARIOS Y EQUIPOS DE ADMINISTRACIÓN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1242152100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Y APARATOS AUDIOVISUALES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1242252200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APARATOS DEPORTIVOS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1242352300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CÁMARAS FOTOGRÁFICAS Y DE VIDEO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1242952900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 MOB. Y EQUIPO EDUCACIONAL Y RECREATIVO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1242952901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 MOB. Y EQUIPO EDUCACIONAL Y RECREATIVO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1243153100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MÉDICO Y DE LABORATORIO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w:t>
            </w:r>
            <w:r w:rsidRPr="00FE4E32">
              <w:rPr>
                <w:rFonts w:asciiTheme="minorHAnsi" w:hAnsiTheme="minorHAnsi" w:cs="Arial"/>
                <w:color w:val="000000"/>
                <w:sz w:val="16"/>
                <w:szCs w:val="16"/>
              </w:rPr>
              <w:t>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1243153101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MÉDICO Y DE LABORATORIO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w:t>
            </w:r>
            <w:r w:rsidRPr="00FE4E32">
              <w:rPr>
                <w:rFonts w:asciiTheme="minorHAnsi" w:hAnsiTheme="minorHAnsi" w:cs="Arial"/>
                <w:color w:val="000000"/>
                <w:sz w:val="16"/>
                <w:szCs w:val="16"/>
              </w:rPr>
              <w:t>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1243253200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INSTRUMENTAL MÉDICO Y DE LABORATORIO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50%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1243253201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INSTRUMENTAL MÉDICO Y DE LABORATORIO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50%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1244154100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AUTOMÓVILES Y CAMIONES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1244154101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AUTOMÓVILES Y CAMIONES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1244254200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CARROCERÍAS Y REMOLQUES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1244354301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AEROESPACIAL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1244954900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DE TRANSPORTES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1244954901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DE TRANSPORTES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1245055100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DEFENSA Y SEGURIDAD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1245055101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DEFENSA Y SEGURIDAD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1246156100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AGROPECUARIO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1246156101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AGROPECUARIO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1246256200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INDUSTRIAL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1246256201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INDUSTRIAL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1246356300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MAQUINARIA Y EQUIPO DE CONSTRUCCIÓN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25%</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4</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1246456400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SISTEMA DE AIRE ACONDICIONADO, CALEFACCION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lastRenderedPageBreak/>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1246556500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COMUNICACIÓN Y TELECOMUNICACIÓN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1246556501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EQUIPO DE COMUNICACIÓN Y TELECOMUNICACIÓN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1246656600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GENER. ELÉCTRICA, APARATOS Y ACCES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5</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20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1246656601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EQ. DE GENER. ELÉCTRICA, APARATOS Y ACCES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5</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20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1246756700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HERRAMIENTAS Y MÁQUINAS-HERRAMIENTA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1246756701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HERRAMIENTAS Y MÁQUINAS-HERRAMIENTA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1246956900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2011</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w:t>
            </w:r>
            <w:r>
              <w:rPr>
                <w:rFonts w:asciiTheme="minorHAnsi" w:hAnsiTheme="minorHAnsi" w:cs="Arial"/>
                <w:color w:val="000000"/>
                <w:sz w:val="16"/>
                <w:szCs w:val="16"/>
              </w:rPr>
              <w:t>0</w:t>
            </w:r>
            <w:r w:rsidRPr="00FE4E32">
              <w:rPr>
                <w:rFonts w:asciiTheme="minorHAnsi" w:hAnsiTheme="minorHAnsi" w:cs="Arial"/>
                <w:color w:val="000000"/>
                <w:sz w:val="16"/>
                <w:szCs w:val="16"/>
              </w:rPr>
              <w:t>%</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Pr>
                <w:rFonts w:asciiTheme="minorHAnsi" w:hAnsiTheme="minorHAnsi" w:cs="Arial"/>
                <w:color w:val="000000"/>
                <w:sz w:val="16"/>
                <w:szCs w:val="16"/>
              </w:rPr>
              <w:t>10</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1246956901</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OTROS EQUIPOS 2010</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17%</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6</w:t>
            </w:r>
          </w:p>
        </w:tc>
      </w:tr>
      <w:tr w:rsidR="001F55D9" w:rsidRPr="00FE4E32" w:rsidTr="001F55D9">
        <w:trPr>
          <w:trHeight w:val="225"/>
        </w:trPr>
        <w:tc>
          <w:tcPr>
            <w:tcW w:w="1128" w:type="dxa"/>
            <w:shd w:val="clear" w:color="auto" w:fill="auto"/>
            <w:noWrap/>
            <w:vAlign w:val="bottom"/>
            <w:hideMark/>
          </w:tcPr>
          <w:p w:rsidR="001F55D9" w:rsidRPr="00FE4E32" w:rsidRDefault="001F55D9" w:rsidP="001F55D9">
            <w:pPr>
              <w:jc w:val="center"/>
              <w:rPr>
                <w:rFonts w:asciiTheme="minorHAnsi" w:hAnsiTheme="minorHAnsi" w:cs="Arial"/>
                <w:sz w:val="16"/>
                <w:szCs w:val="16"/>
              </w:rPr>
            </w:pPr>
            <w:r w:rsidRPr="00FE4E32">
              <w:rPr>
                <w:rFonts w:asciiTheme="minorHAnsi" w:hAnsiTheme="minorHAnsi" w:cs="Arial"/>
                <w:sz w:val="16"/>
                <w:szCs w:val="16"/>
              </w:rPr>
              <w:t>124</w:t>
            </w:r>
          </w:p>
        </w:tc>
        <w:tc>
          <w:tcPr>
            <w:tcW w:w="1167"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w:t>
            </w:r>
          </w:p>
        </w:tc>
        <w:tc>
          <w:tcPr>
            <w:tcW w:w="1175"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1246959900</w:t>
            </w:r>
          </w:p>
        </w:tc>
        <w:tc>
          <w:tcPr>
            <w:tcW w:w="4195" w:type="dxa"/>
            <w:shd w:val="clear" w:color="auto" w:fill="auto"/>
            <w:noWrap/>
            <w:vAlign w:val="bottom"/>
            <w:hideMark/>
          </w:tcPr>
          <w:p w:rsidR="001F55D9" w:rsidRPr="00FE4E32" w:rsidRDefault="001F55D9" w:rsidP="001F55D9">
            <w:pPr>
              <w:rPr>
                <w:rFonts w:asciiTheme="minorHAnsi" w:hAnsiTheme="minorHAnsi" w:cs="Arial"/>
                <w:color w:val="000000"/>
                <w:sz w:val="16"/>
                <w:szCs w:val="16"/>
              </w:rPr>
            </w:pPr>
            <w:r w:rsidRPr="00FE4E32">
              <w:rPr>
                <w:rFonts w:asciiTheme="minorHAnsi" w:hAnsiTheme="minorHAnsi" w:cs="Arial"/>
                <w:color w:val="000000"/>
                <w:sz w:val="16"/>
                <w:szCs w:val="16"/>
              </w:rPr>
              <w:t>BIENES MUEBLES EN TRÁNSITO</w:t>
            </w:r>
          </w:p>
        </w:tc>
        <w:tc>
          <w:tcPr>
            <w:tcW w:w="1134"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c>
          <w:tcPr>
            <w:tcW w:w="992" w:type="dxa"/>
            <w:shd w:val="clear" w:color="auto" w:fill="auto"/>
            <w:noWrap/>
            <w:vAlign w:val="bottom"/>
            <w:hideMark/>
          </w:tcPr>
          <w:p w:rsidR="001F55D9" w:rsidRPr="00FE4E32" w:rsidRDefault="001F55D9" w:rsidP="001F55D9">
            <w:pPr>
              <w:jc w:val="center"/>
              <w:rPr>
                <w:rFonts w:asciiTheme="minorHAnsi" w:hAnsiTheme="minorHAnsi" w:cs="Arial"/>
                <w:color w:val="000000"/>
                <w:sz w:val="16"/>
                <w:szCs w:val="16"/>
              </w:rPr>
            </w:pPr>
            <w:r w:rsidRPr="00FE4E32">
              <w:rPr>
                <w:rFonts w:asciiTheme="minorHAnsi" w:hAnsiTheme="minorHAnsi" w:cs="Arial"/>
                <w:color w:val="000000"/>
                <w:sz w:val="16"/>
                <w:szCs w:val="16"/>
              </w:rPr>
              <w:t>N/A</w:t>
            </w:r>
          </w:p>
        </w:tc>
      </w:tr>
    </w:tbl>
    <w:p w:rsidR="00557A7A" w:rsidRDefault="00557A7A" w:rsidP="00557A7A">
      <w:pPr>
        <w:jc w:val="both"/>
        <w:rPr>
          <w:rFonts w:cs="Calibri"/>
        </w:rPr>
      </w:pPr>
      <w:bookmarkStart w:id="3" w:name="_Hlk227746831"/>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Cambios en el porcentaje de depreciación o valor residual de los activos: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u w:val="single"/>
        </w:rPr>
      </w:pPr>
      <w:r w:rsidRPr="006E394E">
        <w:rPr>
          <w:rFonts w:ascii="Arial" w:hAnsi="Arial" w:cs="Arial"/>
          <w:sz w:val="20"/>
          <w:szCs w:val="20"/>
        </w:rPr>
        <w:t xml:space="preserve">El Instituto mantiene los porcentajes de depreciación de manera consistente en su sistema electrónico de contabilidad a partir del ejercicio 2011 que se implementaron en el Módulo de Activos Fijos de la Plataforma </w:t>
      </w:r>
      <w:r>
        <w:rPr>
          <w:rFonts w:ascii="Arial" w:hAnsi="Arial" w:cs="Arial"/>
          <w:sz w:val="20"/>
          <w:szCs w:val="20"/>
        </w:rPr>
        <w:t>SIAE (Sistema Integral de Administración Estatal).</w:t>
      </w: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Importe de los gastos capitalizados en el ejercicio, tanto financieros como de investigación y desarrollo:</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realizó gastos de investigación y desarrollo capitalizados en el ejercicio.</w:t>
      </w: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Riesgos por tipo de cambio o tipo de interés de las inversiones financieras:</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realizó inversiones en moneda extranjera ni de ningún tipo de inversión.</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 xml:space="preserve">e) </w:t>
      </w:r>
      <w:r w:rsidRPr="006E394E">
        <w:rPr>
          <w:rFonts w:ascii="Arial" w:hAnsi="Arial" w:cs="Arial"/>
          <w:sz w:val="20"/>
          <w:szCs w:val="20"/>
        </w:rPr>
        <w:t>Valor activado en el ejercicio de los bienes construidos por la entidad:</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bienes inmovilizados.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f)</w:t>
      </w:r>
      <w:r w:rsidRPr="006E394E">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bienes en garantía, señalados en embargos, litigios, títulos de inversiones entregados en garantías, baja significativa del valor de inversiones financieras.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g)</w:t>
      </w:r>
      <w:r w:rsidRPr="006E394E">
        <w:rPr>
          <w:rFonts w:ascii="Arial" w:hAnsi="Arial" w:cs="Arial"/>
          <w:sz w:val="20"/>
          <w:szCs w:val="20"/>
        </w:rPr>
        <w:t xml:space="preserve"> Desmantelamiento de Activos, procedimientos, implicaciones, efectos contables:</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en el periodo no tuvo desmantelamiento de Activos con implicaciones o efectos contables.</w:t>
      </w: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h)</w:t>
      </w:r>
      <w:r w:rsidRPr="006E394E">
        <w:rPr>
          <w:rFonts w:ascii="Arial" w:hAnsi="Arial" w:cs="Arial"/>
          <w:sz w:val="20"/>
          <w:szCs w:val="20"/>
        </w:rPr>
        <w:t xml:space="preserve"> Administración de </w:t>
      </w:r>
      <w:r>
        <w:rPr>
          <w:rFonts w:ascii="Arial" w:hAnsi="Arial" w:cs="Arial"/>
          <w:sz w:val="20"/>
          <w:szCs w:val="20"/>
        </w:rPr>
        <w:t>A</w:t>
      </w:r>
      <w:r w:rsidRPr="006E394E">
        <w:rPr>
          <w:rFonts w:ascii="Arial" w:hAnsi="Arial" w:cs="Arial"/>
          <w:sz w:val="20"/>
          <w:szCs w:val="20"/>
        </w:rPr>
        <w:t>ctivos; planeación con el objetivo de que el ente los utilice de manera más efectiva:</w:t>
      </w:r>
    </w:p>
    <w:p w:rsidR="00557A7A" w:rsidRPr="006E394E" w:rsidRDefault="00557A7A" w:rsidP="00557A7A">
      <w:pPr>
        <w:jc w:val="both"/>
        <w:rPr>
          <w:rFonts w:ascii="Arial" w:hAnsi="Arial" w:cs="Arial"/>
          <w:sz w:val="20"/>
          <w:szCs w:val="20"/>
        </w:rPr>
      </w:pPr>
      <w:r w:rsidRPr="009B4BDF">
        <w:rPr>
          <w:rFonts w:ascii="Arial" w:hAnsi="Arial" w:cs="Arial"/>
          <w:sz w:val="20"/>
          <w:szCs w:val="20"/>
        </w:rPr>
        <w:t>La Dirección de Control Patrimonial,</w:t>
      </w:r>
      <w:r w:rsidRPr="006E394E">
        <w:rPr>
          <w:rFonts w:ascii="Arial" w:hAnsi="Arial" w:cs="Arial"/>
          <w:sz w:val="20"/>
          <w:szCs w:val="20"/>
        </w:rPr>
        <w:t xml:space="preserve"> elabora las altas de los activos y la Dirección </w:t>
      </w:r>
      <w:r>
        <w:rPr>
          <w:rFonts w:ascii="Arial" w:hAnsi="Arial" w:cs="Arial"/>
          <w:sz w:val="20"/>
          <w:szCs w:val="20"/>
        </w:rPr>
        <w:t xml:space="preserve">General </w:t>
      </w:r>
      <w:r w:rsidRPr="006E394E">
        <w:rPr>
          <w:rFonts w:ascii="Arial" w:hAnsi="Arial" w:cs="Arial"/>
          <w:sz w:val="20"/>
          <w:szCs w:val="20"/>
        </w:rPr>
        <w:t>de Recursos Materiales y Servicios Generales emite los resguardos correspondientes, las unidades responsables realizan un inventario físico de los bienes muebles propiedad del Instituto una vez al año y lo reporta a la Dirección General de Recursos Materiales</w:t>
      </w:r>
      <w:r>
        <w:rPr>
          <w:rFonts w:ascii="Arial" w:hAnsi="Arial" w:cs="Arial"/>
          <w:sz w:val="20"/>
          <w:szCs w:val="20"/>
        </w:rPr>
        <w:t>,</w:t>
      </w:r>
      <w:r w:rsidRPr="006E394E">
        <w:rPr>
          <w:rFonts w:ascii="Arial" w:hAnsi="Arial" w:cs="Arial"/>
          <w:sz w:val="20"/>
          <w:szCs w:val="20"/>
        </w:rPr>
        <w:t xml:space="preserve"> Servicios Generales</w:t>
      </w:r>
      <w:r>
        <w:rPr>
          <w:rFonts w:ascii="Arial" w:hAnsi="Arial" w:cs="Arial"/>
          <w:sz w:val="20"/>
          <w:szCs w:val="20"/>
        </w:rPr>
        <w:t xml:space="preserve"> y Catastro de la Secretaría de Finanzas</w:t>
      </w:r>
      <w:r w:rsidRPr="006E394E">
        <w:rPr>
          <w:rFonts w:ascii="Arial" w:hAnsi="Arial" w:cs="Arial"/>
          <w:sz w:val="20"/>
          <w:szCs w:val="20"/>
        </w:rPr>
        <w:t>.</w:t>
      </w:r>
    </w:p>
    <w:p w:rsidR="00557A7A" w:rsidRPr="006E394E" w:rsidRDefault="00557A7A" w:rsidP="00557A7A">
      <w:pPr>
        <w:jc w:val="both"/>
        <w:rPr>
          <w:rFonts w:ascii="Arial" w:hAnsi="Arial" w:cs="Arial"/>
          <w:sz w:val="20"/>
          <w:szCs w:val="20"/>
        </w:rPr>
      </w:pPr>
      <w:r w:rsidRPr="006E394E">
        <w:rPr>
          <w:rFonts w:ascii="Arial" w:hAnsi="Arial" w:cs="Arial"/>
          <w:sz w:val="20"/>
          <w:szCs w:val="20"/>
        </w:rPr>
        <w:t>Adicionalmente, se deben incluir las explicaciones de las principales variaciones en el activo, en cuadros comparativos como sigue:</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Inversiones en valores:</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Inversiones en valores.</w:t>
      </w:r>
    </w:p>
    <w:p w:rsidR="00557A7A" w:rsidRDefault="00557A7A" w:rsidP="00557A7A">
      <w:pPr>
        <w:jc w:val="both"/>
        <w:rPr>
          <w:rFonts w:ascii="Arial" w:hAnsi="Arial" w:cs="Arial"/>
          <w:b/>
          <w:sz w:val="20"/>
          <w:szCs w:val="20"/>
        </w:rPr>
      </w:pPr>
    </w:p>
    <w:p w:rsidR="00557A7A" w:rsidRDefault="00557A7A" w:rsidP="00557A7A">
      <w:pPr>
        <w:jc w:val="both"/>
        <w:rPr>
          <w:rFonts w:ascii="Arial" w:hAnsi="Arial" w:cs="Arial"/>
          <w:b/>
          <w:sz w:val="20"/>
          <w:szCs w:val="20"/>
        </w:rPr>
      </w:pP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Patrimonio de </w:t>
      </w:r>
      <w:r>
        <w:rPr>
          <w:rFonts w:ascii="Arial" w:hAnsi="Arial" w:cs="Arial"/>
          <w:sz w:val="20"/>
          <w:szCs w:val="20"/>
        </w:rPr>
        <w:t>o</w:t>
      </w:r>
      <w:r w:rsidRPr="006E394E">
        <w:rPr>
          <w:rFonts w:ascii="Arial" w:hAnsi="Arial" w:cs="Arial"/>
          <w:sz w:val="20"/>
          <w:szCs w:val="20"/>
        </w:rPr>
        <w:t xml:space="preserve">rganismos </w:t>
      </w:r>
      <w:r>
        <w:rPr>
          <w:rFonts w:ascii="Arial" w:hAnsi="Arial" w:cs="Arial"/>
          <w:sz w:val="20"/>
          <w:szCs w:val="20"/>
        </w:rPr>
        <w:t>d</w:t>
      </w:r>
      <w:r w:rsidRPr="006E394E">
        <w:rPr>
          <w:rFonts w:ascii="Arial" w:hAnsi="Arial" w:cs="Arial"/>
          <w:sz w:val="20"/>
          <w:szCs w:val="20"/>
        </w:rPr>
        <w:t xml:space="preserve">escentralizados de </w:t>
      </w:r>
      <w:r>
        <w:rPr>
          <w:rFonts w:ascii="Arial" w:hAnsi="Arial" w:cs="Arial"/>
          <w:sz w:val="20"/>
          <w:szCs w:val="20"/>
        </w:rPr>
        <w:t>c</w:t>
      </w:r>
      <w:r w:rsidRPr="006E394E">
        <w:rPr>
          <w:rFonts w:ascii="Arial" w:hAnsi="Arial" w:cs="Arial"/>
          <w:sz w:val="20"/>
          <w:szCs w:val="20"/>
        </w:rPr>
        <w:t xml:space="preserve">ontrol </w:t>
      </w:r>
      <w:r>
        <w:rPr>
          <w:rFonts w:ascii="Arial" w:hAnsi="Arial" w:cs="Arial"/>
          <w:sz w:val="20"/>
          <w:szCs w:val="20"/>
        </w:rPr>
        <w:t>p</w:t>
      </w:r>
      <w:r w:rsidRPr="006E394E">
        <w:rPr>
          <w:rFonts w:ascii="Arial" w:hAnsi="Arial" w:cs="Arial"/>
          <w:sz w:val="20"/>
          <w:szCs w:val="20"/>
        </w:rPr>
        <w:t xml:space="preserve">resupuestario </w:t>
      </w:r>
      <w:r>
        <w:rPr>
          <w:rFonts w:ascii="Arial" w:hAnsi="Arial" w:cs="Arial"/>
          <w:sz w:val="20"/>
          <w:szCs w:val="20"/>
        </w:rPr>
        <w:t>i</w:t>
      </w:r>
      <w:r w:rsidRPr="006E394E">
        <w:rPr>
          <w:rFonts w:ascii="Arial" w:hAnsi="Arial" w:cs="Arial"/>
          <w:sz w:val="20"/>
          <w:szCs w:val="20"/>
        </w:rPr>
        <w:t>ndirecto:</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participación en el patrimonio de algún Organismo descentralizado de Control Presupuestario Indirecto.</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c)</w:t>
      </w:r>
      <w:r w:rsidRPr="006E394E">
        <w:rPr>
          <w:rFonts w:ascii="Arial" w:hAnsi="Arial" w:cs="Arial"/>
          <w:sz w:val="20"/>
          <w:szCs w:val="20"/>
        </w:rPr>
        <w:t xml:space="preserve"> Inversiones en empresas de participación mayoritaria:</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inversiones en empresas de participación mayoritaria.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d)</w:t>
      </w:r>
      <w:r w:rsidRPr="006E394E">
        <w:rPr>
          <w:rFonts w:ascii="Arial" w:hAnsi="Arial" w:cs="Arial"/>
          <w:sz w:val="20"/>
          <w:szCs w:val="20"/>
        </w:rPr>
        <w:t xml:space="preserve"> Inversiones en empresas de participación minoritaria:</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inversiones en empresas de participación minoritaria.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e)</w:t>
      </w:r>
      <w:r w:rsidRPr="006E394E">
        <w:rPr>
          <w:rFonts w:ascii="Arial" w:hAnsi="Arial" w:cs="Arial"/>
          <w:sz w:val="20"/>
          <w:szCs w:val="20"/>
        </w:rPr>
        <w:t xml:space="preserve"> Patrimonio de organismos descentralizados de control presupuestario directo, según corresponda:</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tiene inversiones en organismos descentralizados de control presupuestario directo.</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8</w:t>
      </w:r>
      <w:r w:rsidRPr="006E394E">
        <w:rPr>
          <w:rFonts w:ascii="Arial" w:hAnsi="Arial" w:cs="Arial"/>
          <w:b/>
          <w:sz w:val="20"/>
          <w:szCs w:val="20"/>
        </w:rPr>
        <w:t>. Fideicomisos, Mandatos y Análogos:</w:t>
      </w:r>
    </w:p>
    <w:p w:rsidR="00557A7A" w:rsidRPr="006E394E" w:rsidRDefault="00557A7A" w:rsidP="00557A7A">
      <w:pPr>
        <w:jc w:val="both"/>
        <w:rPr>
          <w:rFonts w:ascii="Arial" w:hAnsi="Arial" w:cs="Arial"/>
          <w:sz w:val="20"/>
          <w:szCs w:val="20"/>
        </w:rPr>
      </w:pPr>
      <w:r w:rsidRPr="006E394E">
        <w:rPr>
          <w:rFonts w:ascii="Arial" w:hAnsi="Arial" w:cs="Arial"/>
          <w:sz w:val="20"/>
          <w:szCs w:val="20"/>
        </w:rPr>
        <w:t>Se deberá informar:</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Por ramo administrativo que los reporta:</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participa en algún fideicomiso, mandato y otros análogos.</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Enlistar los de mayor monto de disponibilidad, relacionando aquéllos que conforman el 80% de las disponibilidades:</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participa en algún fideicomiso, mandato y otros análogos.</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Pr>
          <w:rFonts w:ascii="Arial" w:hAnsi="Arial" w:cs="Arial"/>
          <w:b/>
          <w:sz w:val="20"/>
          <w:szCs w:val="20"/>
        </w:rPr>
        <w:t>9</w:t>
      </w:r>
      <w:r w:rsidRPr="006E394E">
        <w:rPr>
          <w:rFonts w:ascii="Arial" w:hAnsi="Arial" w:cs="Arial"/>
          <w:b/>
          <w:sz w:val="20"/>
          <w:szCs w:val="20"/>
        </w:rPr>
        <w:t>. Reporte de la Recaudación:</w:t>
      </w:r>
    </w:p>
    <w:p w:rsidR="00557A7A" w:rsidRDefault="00557A7A" w:rsidP="00557A7A">
      <w:pPr>
        <w:pBdr>
          <w:bottom w:val="single" w:sz="12" w:space="0" w:color="auto"/>
        </w:pBd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Análisis del comportamiento de la recaudación correspondiente al ente público o cualquier tipo de ingreso, de forma separada los ingresos locales de los federales:</w:t>
      </w:r>
    </w:p>
    <w:p w:rsidR="00557A7A" w:rsidRDefault="00557A7A" w:rsidP="00557A7A">
      <w:pPr>
        <w:pBdr>
          <w:bottom w:val="single" w:sz="12" w:space="0" w:color="auto"/>
        </w:pBdr>
        <w:jc w:val="both"/>
        <w:rPr>
          <w:rFonts w:ascii="Arial" w:hAnsi="Arial" w:cs="Arial"/>
          <w:sz w:val="20"/>
          <w:szCs w:val="20"/>
        </w:rPr>
      </w:pPr>
    </w:p>
    <w:bookmarkEnd w:id="3"/>
    <w:p w:rsidR="00557A7A" w:rsidRDefault="00557A7A" w:rsidP="00557A7A">
      <w:pPr>
        <w:pBdr>
          <w:bottom w:val="single" w:sz="12" w:space="0" w:color="auto"/>
        </w:pBdr>
        <w:jc w:val="both"/>
        <w:rPr>
          <w:rFonts w:ascii="Arial" w:hAnsi="Arial" w:cs="Arial"/>
          <w:sz w:val="20"/>
          <w:szCs w:val="20"/>
        </w:rPr>
      </w:pPr>
    </w:p>
    <w:p w:rsidR="00557A7A" w:rsidRDefault="00557A7A" w:rsidP="00557A7A">
      <w:pPr>
        <w:pBdr>
          <w:bottom w:val="single" w:sz="12" w:space="0" w:color="auto"/>
        </w:pBdr>
        <w:jc w:val="both"/>
        <w:rPr>
          <w:rFonts w:ascii="Arial" w:hAnsi="Arial" w:cs="Arial"/>
          <w:sz w:val="20"/>
          <w:szCs w:val="20"/>
        </w:rPr>
      </w:pPr>
    </w:p>
    <w:p w:rsidR="00557A7A" w:rsidRDefault="00557A7A" w:rsidP="00557A7A">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r w:rsidRPr="00BC47E3">
        <w:rPr>
          <w:rFonts w:ascii="Arial" w:hAnsi="Arial" w:cs="Arial"/>
          <w:sz w:val="20"/>
          <w:szCs w:val="20"/>
        </w:rPr>
        <w:lastRenderedPageBreak/>
        <w:t>Reporte de Ingresos Recibidos durante el Ejercicio:</w:t>
      </w:r>
    </w:p>
    <w:p w:rsidR="001F55D9" w:rsidRDefault="00557A7A" w:rsidP="001F55D9">
      <w:pPr>
        <w:pBdr>
          <w:bottom w:val="single" w:sz="12" w:space="0" w:color="auto"/>
        </w:pBdr>
        <w:jc w:val="both"/>
        <w:rPr>
          <w:rFonts w:ascii="Arial" w:hAnsi="Arial" w:cs="Arial"/>
          <w:sz w:val="20"/>
          <w:szCs w:val="20"/>
        </w:rPr>
      </w:pPr>
      <w:bookmarkStart w:id="4" w:name="_Hlk227746880"/>
      <w:r>
        <w:rPr>
          <w:rFonts w:ascii="Arial" w:hAnsi="Arial" w:cs="Arial"/>
          <w:sz w:val="20"/>
          <w:szCs w:val="20"/>
        </w:rPr>
        <w:t>Comportamiento de recaudación al 31 de marzo de 2026:</w:t>
      </w:r>
      <w:bookmarkEnd w:id="4"/>
    </w:p>
    <w:p w:rsidR="00557A7A" w:rsidRDefault="00557A7A" w:rsidP="001F55D9">
      <w:pPr>
        <w:pBdr>
          <w:bottom w:val="single" w:sz="12" w:space="0" w:color="auto"/>
        </w:pBdr>
        <w:jc w:val="both"/>
        <w:rPr>
          <w:rFonts w:ascii="Arial" w:hAnsi="Arial" w:cs="Arial"/>
          <w:sz w:val="20"/>
          <w:szCs w:val="20"/>
        </w:rPr>
      </w:pPr>
    </w:p>
    <w:p w:rsidR="00C6146C" w:rsidRDefault="00557A7A" w:rsidP="001F55D9">
      <w:pPr>
        <w:pBdr>
          <w:bottom w:val="single" w:sz="12" w:space="0" w:color="auto"/>
        </w:pBdr>
        <w:jc w:val="both"/>
        <w:rPr>
          <w:rFonts w:ascii="Arial" w:hAnsi="Arial" w:cs="Arial"/>
          <w:sz w:val="20"/>
          <w:szCs w:val="20"/>
        </w:rPr>
      </w:pPr>
      <w:r w:rsidRPr="00557A7A">
        <w:rPr>
          <w:noProof/>
        </w:rPr>
        <w:drawing>
          <wp:inline distT="0" distB="0" distL="0" distR="0">
            <wp:extent cx="8690610" cy="239012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0610" cy="2390129"/>
                    </a:xfrm>
                    <a:prstGeom prst="rect">
                      <a:avLst/>
                    </a:prstGeom>
                    <a:noFill/>
                    <a:ln>
                      <a:noFill/>
                    </a:ln>
                  </pic:spPr>
                </pic:pic>
              </a:graphicData>
            </a:graphic>
          </wp:inline>
        </w:drawing>
      </w:r>
    </w:p>
    <w:p w:rsidR="001F55D9" w:rsidRDefault="001F55D9" w:rsidP="001F55D9">
      <w:pPr>
        <w:pBdr>
          <w:bottom w:val="single" w:sz="12" w:space="0" w:color="auto"/>
        </w:pBdr>
        <w:jc w:val="both"/>
        <w:rPr>
          <w:rFonts w:ascii="Arial" w:hAnsi="Arial" w:cs="Arial"/>
          <w:sz w:val="20"/>
          <w:szCs w:val="20"/>
        </w:rPr>
      </w:pPr>
    </w:p>
    <w:p w:rsidR="001F55D9" w:rsidRPr="006E394E" w:rsidRDefault="001F55D9" w:rsidP="001F55D9">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Proyección de la recaudación e ingresos en el mediano plazo:</w:t>
      </w:r>
    </w:p>
    <w:p w:rsidR="001F55D9" w:rsidRDefault="001F55D9" w:rsidP="001F55D9">
      <w:pPr>
        <w:pBdr>
          <w:bottom w:val="single" w:sz="12" w:space="0" w:color="auto"/>
        </w:pBdr>
        <w:jc w:val="both"/>
        <w:rPr>
          <w:rFonts w:ascii="Arial" w:hAnsi="Arial" w:cs="Arial"/>
          <w:sz w:val="20"/>
          <w:szCs w:val="20"/>
        </w:rPr>
      </w:pPr>
    </w:p>
    <w:p w:rsidR="001F55D9" w:rsidRDefault="001F55D9" w:rsidP="001F55D9">
      <w:pPr>
        <w:pBdr>
          <w:bottom w:val="single" w:sz="12" w:space="0" w:color="auto"/>
        </w:pBdr>
        <w:jc w:val="both"/>
        <w:rPr>
          <w:rFonts w:ascii="Arial" w:hAnsi="Arial" w:cs="Arial"/>
          <w:sz w:val="20"/>
          <w:szCs w:val="20"/>
        </w:rPr>
      </w:pPr>
      <w:r w:rsidRPr="00BC47E3">
        <w:rPr>
          <w:rFonts w:ascii="Arial" w:hAnsi="Arial" w:cs="Arial"/>
          <w:sz w:val="20"/>
          <w:szCs w:val="20"/>
        </w:rPr>
        <w:t>Reporte de Ingresos por Recaudar en el Ejercicio</w:t>
      </w:r>
      <w:r>
        <w:rPr>
          <w:rFonts w:ascii="Arial" w:hAnsi="Arial" w:cs="Arial"/>
          <w:sz w:val="20"/>
          <w:szCs w:val="20"/>
        </w:rPr>
        <w:t>:</w:t>
      </w:r>
    </w:p>
    <w:p w:rsidR="001F55D9" w:rsidRDefault="00557A7A" w:rsidP="001F55D9">
      <w:pPr>
        <w:pBdr>
          <w:bottom w:val="single" w:sz="12" w:space="0" w:color="auto"/>
        </w:pBdr>
        <w:jc w:val="both"/>
        <w:rPr>
          <w:rFonts w:ascii="Arial" w:hAnsi="Arial" w:cs="Arial"/>
          <w:sz w:val="20"/>
          <w:szCs w:val="20"/>
        </w:rPr>
      </w:pPr>
      <w:r w:rsidRPr="00557A7A">
        <w:rPr>
          <w:noProof/>
        </w:rPr>
        <w:drawing>
          <wp:inline distT="0" distB="0" distL="0" distR="0">
            <wp:extent cx="8690610" cy="23901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90610" cy="2390129"/>
                    </a:xfrm>
                    <a:prstGeom prst="rect">
                      <a:avLst/>
                    </a:prstGeom>
                    <a:noFill/>
                    <a:ln>
                      <a:noFill/>
                    </a:ln>
                  </pic:spPr>
                </pic:pic>
              </a:graphicData>
            </a:graphic>
          </wp:inline>
        </w:drawing>
      </w:r>
    </w:p>
    <w:p w:rsidR="001F55D9" w:rsidRDefault="001F55D9" w:rsidP="001F55D9">
      <w:pPr>
        <w:pBdr>
          <w:bottom w:val="single" w:sz="12" w:space="0" w:color="auto"/>
        </w:pBdr>
        <w:jc w:val="both"/>
        <w:rPr>
          <w:rFonts w:ascii="Arial" w:hAnsi="Arial" w:cs="Arial"/>
          <w:sz w:val="20"/>
          <w:szCs w:val="20"/>
        </w:rPr>
      </w:pPr>
    </w:p>
    <w:p w:rsidR="00557A7A" w:rsidRPr="006E394E" w:rsidRDefault="00557A7A" w:rsidP="00557A7A">
      <w:pPr>
        <w:jc w:val="both"/>
        <w:rPr>
          <w:rFonts w:ascii="Arial" w:hAnsi="Arial" w:cs="Arial"/>
          <w:b/>
          <w:sz w:val="20"/>
          <w:szCs w:val="20"/>
        </w:rPr>
      </w:pPr>
      <w:bookmarkStart w:id="5" w:name="_Hlk227746952"/>
      <w:r w:rsidRPr="006E394E">
        <w:rPr>
          <w:rFonts w:ascii="Arial" w:hAnsi="Arial" w:cs="Arial"/>
          <w:b/>
          <w:sz w:val="20"/>
          <w:szCs w:val="20"/>
        </w:rPr>
        <w:lastRenderedPageBreak/>
        <w:t>1</w:t>
      </w:r>
      <w:r>
        <w:rPr>
          <w:rFonts w:ascii="Arial" w:hAnsi="Arial" w:cs="Arial"/>
          <w:b/>
          <w:sz w:val="20"/>
          <w:szCs w:val="20"/>
        </w:rPr>
        <w:t>0</w:t>
      </w:r>
      <w:r w:rsidRPr="006E394E">
        <w:rPr>
          <w:rFonts w:ascii="Arial" w:hAnsi="Arial" w:cs="Arial"/>
          <w:b/>
          <w:sz w:val="20"/>
          <w:szCs w:val="20"/>
        </w:rPr>
        <w:t>. Información sobre la Deuda y el Reporte Analítico de la Deuda:</w:t>
      </w: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Utilizar al menos los siguientes indicadores: deuda respecto al PIB y deuda respecto a la recaudaci</w:t>
      </w:r>
      <w:r>
        <w:rPr>
          <w:rFonts w:ascii="Arial" w:hAnsi="Arial" w:cs="Arial"/>
          <w:sz w:val="20"/>
          <w:szCs w:val="20"/>
        </w:rPr>
        <w:t>ón tomando, como mínimo, un peri</w:t>
      </w:r>
      <w:r w:rsidRPr="006E394E">
        <w:rPr>
          <w:rFonts w:ascii="Arial" w:hAnsi="Arial" w:cs="Arial"/>
          <w:sz w:val="20"/>
          <w:szCs w:val="20"/>
        </w:rPr>
        <w:t>odo igual o menor a 5 años.</w:t>
      </w:r>
    </w:p>
    <w:p w:rsidR="00557A7A" w:rsidRPr="006E394E" w:rsidRDefault="00557A7A" w:rsidP="00557A7A">
      <w:pPr>
        <w:jc w:val="both"/>
        <w:rPr>
          <w:rFonts w:ascii="Arial" w:hAnsi="Arial" w:cs="Arial"/>
          <w:sz w:val="20"/>
          <w:szCs w:val="20"/>
        </w:rPr>
      </w:pPr>
      <w:r w:rsidRPr="006E394E">
        <w:rPr>
          <w:rFonts w:ascii="Arial" w:hAnsi="Arial" w:cs="Arial"/>
          <w:sz w:val="20"/>
          <w:szCs w:val="20"/>
        </w:rPr>
        <w:t>El Instituto no está facultado para contraer deuda.</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Información de manera agrupada por tipo de valor gubernamental o instrumento financiero en la que se consideren intereses, comisiones, tasa, perfil de vencimiento y otros gastos de la deuda.</w:t>
      </w:r>
    </w:p>
    <w:p w:rsidR="00557A7A" w:rsidRPr="006E394E" w:rsidRDefault="00557A7A" w:rsidP="00557A7A">
      <w:pPr>
        <w:jc w:val="both"/>
        <w:rPr>
          <w:rFonts w:ascii="Arial" w:hAnsi="Arial" w:cs="Arial"/>
          <w:sz w:val="20"/>
          <w:szCs w:val="20"/>
        </w:rPr>
      </w:pPr>
      <w:r w:rsidRPr="006E394E">
        <w:rPr>
          <w:rFonts w:ascii="Arial" w:hAnsi="Arial" w:cs="Arial"/>
          <w:sz w:val="20"/>
          <w:szCs w:val="20"/>
        </w:rPr>
        <w:t>Esta nota no le aplica al Instituto, porque no está facultado para contraer deuda.</w:t>
      </w:r>
    </w:p>
    <w:p w:rsidR="00557A7A" w:rsidRDefault="00557A7A" w:rsidP="00557A7A">
      <w:pPr>
        <w:jc w:val="both"/>
        <w:rPr>
          <w:rFonts w:ascii="Arial" w:hAnsi="Arial" w:cs="Arial"/>
          <w:b/>
          <w:sz w:val="20"/>
          <w:szCs w:val="20"/>
        </w:rPr>
      </w:pPr>
    </w:p>
    <w:p w:rsidR="00557A7A" w:rsidRDefault="00557A7A" w:rsidP="00557A7A">
      <w:pPr>
        <w:jc w:val="both"/>
        <w:rPr>
          <w:rFonts w:ascii="Arial" w:hAnsi="Arial" w:cs="Arial"/>
          <w:b/>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1</w:t>
      </w:r>
      <w:r w:rsidRPr="006E394E">
        <w:rPr>
          <w:rFonts w:ascii="Arial" w:hAnsi="Arial" w:cs="Arial"/>
          <w:b/>
          <w:sz w:val="20"/>
          <w:szCs w:val="20"/>
        </w:rPr>
        <w:t>. Calificaciones otorgadas:</w:t>
      </w:r>
    </w:p>
    <w:p w:rsidR="00557A7A" w:rsidRPr="006E394E" w:rsidRDefault="00557A7A" w:rsidP="00557A7A">
      <w:pPr>
        <w:jc w:val="both"/>
        <w:rPr>
          <w:rFonts w:ascii="Arial" w:hAnsi="Arial" w:cs="Arial"/>
          <w:sz w:val="20"/>
          <w:szCs w:val="20"/>
        </w:rPr>
      </w:pPr>
      <w:r w:rsidRPr="006E394E">
        <w:rPr>
          <w:rFonts w:ascii="Arial" w:hAnsi="Arial" w:cs="Arial"/>
          <w:sz w:val="20"/>
          <w:szCs w:val="20"/>
        </w:rPr>
        <w:t>Informar, tanto del ente público como cualquier transacción realizada, que haya sido sujeta a una calificación crediticia:</w:t>
      </w:r>
    </w:p>
    <w:p w:rsidR="00557A7A" w:rsidRPr="006E394E" w:rsidRDefault="00557A7A" w:rsidP="00557A7A">
      <w:pPr>
        <w:jc w:val="both"/>
        <w:rPr>
          <w:rFonts w:ascii="Arial" w:hAnsi="Arial" w:cs="Arial"/>
          <w:sz w:val="20"/>
          <w:szCs w:val="20"/>
        </w:rPr>
      </w:pPr>
      <w:r w:rsidRPr="006E394E">
        <w:rPr>
          <w:rFonts w:ascii="Arial" w:hAnsi="Arial" w:cs="Arial"/>
          <w:sz w:val="20"/>
          <w:szCs w:val="20"/>
        </w:rPr>
        <w:t>Todas las operaciones del Instituto están basadas en un presup</w:t>
      </w:r>
      <w:r>
        <w:rPr>
          <w:rFonts w:ascii="Arial" w:hAnsi="Arial" w:cs="Arial"/>
          <w:sz w:val="20"/>
          <w:szCs w:val="20"/>
        </w:rPr>
        <w:t>uesto autorizado ya sea por el Congreso Federal o el C</w:t>
      </w:r>
      <w:r w:rsidRPr="006E394E">
        <w:rPr>
          <w:rFonts w:ascii="Arial" w:hAnsi="Arial" w:cs="Arial"/>
          <w:sz w:val="20"/>
          <w:szCs w:val="20"/>
        </w:rPr>
        <w:t xml:space="preserve">ongreso </w:t>
      </w:r>
      <w:r>
        <w:rPr>
          <w:rFonts w:ascii="Arial" w:hAnsi="Arial" w:cs="Arial"/>
          <w:sz w:val="20"/>
          <w:szCs w:val="20"/>
        </w:rPr>
        <w:t>E</w:t>
      </w:r>
      <w:r w:rsidRPr="006E394E">
        <w:rPr>
          <w:rFonts w:ascii="Arial" w:hAnsi="Arial" w:cs="Arial"/>
          <w:sz w:val="20"/>
          <w:szCs w:val="20"/>
        </w:rPr>
        <w:t>statal.</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2</w:t>
      </w:r>
      <w:r w:rsidRPr="006E394E">
        <w:rPr>
          <w:rFonts w:ascii="Arial" w:hAnsi="Arial" w:cs="Arial"/>
          <w:b/>
          <w:sz w:val="20"/>
          <w:szCs w:val="20"/>
        </w:rPr>
        <w:t>. Proceso de Mejora:</w:t>
      </w:r>
    </w:p>
    <w:p w:rsidR="00557A7A" w:rsidRPr="006E394E" w:rsidRDefault="00557A7A" w:rsidP="00557A7A">
      <w:pPr>
        <w:jc w:val="both"/>
        <w:rPr>
          <w:rFonts w:ascii="Arial" w:hAnsi="Arial" w:cs="Arial"/>
          <w:sz w:val="20"/>
          <w:szCs w:val="20"/>
        </w:rPr>
      </w:pPr>
      <w:r w:rsidRPr="006E394E">
        <w:rPr>
          <w:rFonts w:ascii="Arial" w:hAnsi="Arial" w:cs="Arial"/>
          <w:sz w:val="20"/>
          <w:szCs w:val="20"/>
        </w:rPr>
        <w:t>Se informará de:</w:t>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b/>
          <w:sz w:val="20"/>
          <w:szCs w:val="20"/>
        </w:rPr>
        <w:t>a)</w:t>
      </w:r>
      <w:r w:rsidRPr="006E394E">
        <w:rPr>
          <w:rFonts w:ascii="Arial" w:hAnsi="Arial" w:cs="Arial"/>
          <w:sz w:val="20"/>
          <w:szCs w:val="20"/>
        </w:rPr>
        <w:t xml:space="preserve"> Principales Políticas de control interno:</w:t>
      </w:r>
    </w:p>
    <w:p w:rsidR="00557A7A" w:rsidRPr="006E394E" w:rsidRDefault="00557A7A" w:rsidP="00557A7A">
      <w:pPr>
        <w:pStyle w:val="Prrafodelista"/>
        <w:numPr>
          <w:ilvl w:val="0"/>
          <w:numId w:val="21"/>
        </w:numPr>
        <w:jc w:val="both"/>
        <w:rPr>
          <w:rFonts w:ascii="Arial" w:hAnsi="Arial" w:cs="Arial"/>
          <w:sz w:val="20"/>
          <w:szCs w:val="20"/>
        </w:rPr>
      </w:pPr>
      <w:r w:rsidRPr="006E394E">
        <w:rPr>
          <w:rFonts w:ascii="Arial" w:hAnsi="Arial" w:cs="Arial"/>
          <w:sz w:val="20"/>
          <w:szCs w:val="20"/>
        </w:rPr>
        <w:t>Apoyar la consecución de los objetivos institucionales, traducidos en mejorar la calidad y calidez de los servicios en materia de salud y regulación sanitaria que proporciona el Instituto de Salud Pública del Estado de Guanajuato a la población en general.</w:t>
      </w:r>
    </w:p>
    <w:p w:rsidR="00557A7A" w:rsidRPr="006E394E" w:rsidRDefault="00557A7A" w:rsidP="00557A7A">
      <w:pPr>
        <w:pStyle w:val="Prrafodelista"/>
        <w:numPr>
          <w:ilvl w:val="0"/>
          <w:numId w:val="21"/>
        </w:numPr>
        <w:jc w:val="both"/>
        <w:rPr>
          <w:rFonts w:ascii="Arial" w:hAnsi="Arial" w:cs="Arial"/>
          <w:sz w:val="20"/>
          <w:szCs w:val="20"/>
        </w:rPr>
      </w:pPr>
      <w:r w:rsidRPr="006E394E">
        <w:rPr>
          <w:rFonts w:ascii="Arial" w:hAnsi="Arial" w:cs="Arial"/>
          <w:sz w:val="20"/>
          <w:szCs w:val="20"/>
        </w:rPr>
        <w:t>Contribuir con la transparencia de la gestión y rendición de cuentas mediante la generación de instrumentos y mecanismos de control, evaluación y autoevaluación.</w:t>
      </w:r>
    </w:p>
    <w:p w:rsidR="00557A7A" w:rsidRPr="006E394E" w:rsidRDefault="00557A7A" w:rsidP="00557A7A">
      <w:pPr>
        <w:pStyle w:val="Prrafodelista"/>
        <w:numPr>
          <w:ilvl w:val="0"/>
          <w:numId w:val="21"/>
        </w:numPr>
        <w:jc w:val="both"/>
        <w:rPr>
          <w:rFonts w:ascii="Arial" w:hAnsi="Arial" w:cs="Arial"/>
          <w:sz w:val="20"/>
          <w:szCs w:val="20"/>
        </w:rPr>
      </w:pPr>
      <w:r w:rsidRPr="006E394E">
        <w:rPr>
          <w:rFonts w:ascii="Arial" w:hAnsi="Arial" w:cs="Arial"/>
          <w:sz w:val="20"/>
          <w:szCs w:val="20"/>
        </w:rPr>
        <w:t>Promover la eficiencia, eficacia y congruencia en la operación a través de un Sistema de Control Interno Institucional.</w:t>
      </w:r>
    </w:p>
    <w:p w:rsidR="00557A7A" w:rsidRPr="006E394E" w:rsidRDefault="00557A7A" w:rsidP="00557A7A">
      <w:pPr>
        <w:pStyle w:val="Prrafodelista"/>
        <w:numPr>
          <w:ilvl w:val="0"/>
          <w:numId w:val="21"/>
        </w:numPr>
        <w:jc w:val="both"/>
        <w:rPr>
          <w:rFonts w:ascii="Arial" w:hAnsi="Arial" w:cs="Arial"/>
          <w:sz w:val="20"/>
          <w:szCs w:val="20"/>
        </w:rPr>
      </w:pPr>
      <w:r w:rsidRPr="006E394E">
        <w:rPr>
          <w:rFonts w:ascii="Arial" w:hAnsi="Arial" w:cs="Arial"/>
          <w:sz w:val="20"/>
          <w:szCs w:val="20"/>
        </w:rPr>
        <w:t>Contribuir a la implementación y consolidación de una cultura de la calidad, entendida como el conjunto de prácticas, propósitos y procesos que garanticen el cumplimiento de la Misión, Visión y Metas Institucionales de acuerdo con patrones de excelencia determinados por la normatividad competente y reconocidos por el entorno social, institucional y laboral.</w:t>
      </w:r>
    </w:p>
    <w:p w:rsidR="00557A7A" w:rsidRPr="006E394E" w:rsidRDefault="00557A7A" w:rsidP="00557A7A">
      <w:pPr>
        <w:pStyle w:val="Prrafodelista"/>
        <w:numPr>
          <w:ilvl w:val="0"/>
          <w:numId w:val="21"/>
        </w:numPr>
        <w:jc w:val="both"/>
        <w:rPr>
          <w:rFonts w:ascii="Arial" w:hAnsi="Arial" w:cs="Arial"/>
          <w:sz w:val="20"/>
          <w:szCs w:val="20"/>
        </w:rPr>
      </w:pPr>
      <w:r w:rsidRPr="006E394E">
        <w:rPr>
          <w:rFonts w:ascii="Arial" w:hAnsi="Arial" w:cs="Arial"/>
          <w:sz w:val="20"/>
          <w:szCs w:val="20"/>
        </w:rPr>
        <w:t>Realizar en forma permanente procesos de mejora, renovación y actualización en concordancia con las transformaciones institucionales y retos del entorno.</w:t>
      </w:r>
    </w:p>
    <w:p w:rsidR="00557A7A" w:rsidRPr="006E394E" w:rsidRDefault="00557A7A" w:rsidP="00557A7A">
      <w:pPr>
        <w:jc w:val="both"/>
        <w:rPr>
          <w:rFonts w:ascii="Arial" w:hAnsi="Arial" w:cs="Arial"/>
          <w:sz w:val="20"/>
          <w:szCs w:val="20"/>
        </w:rPr>
      </w:pPr>
      <w:r w:rsidRPr="006E394E">
        <w:rPr>
          <w:rFonts w:ascii="Arial" w:hAnsi="Arial" w:cs="Arial"/>
          <w:b/>
          <w:sz w:val="20"/>
          <w:szCs w:val="20"/>
        </w:rPr>
        <w:t>b)</w:t>
      </w:r>
      <w:r w:rsidRPr="006E394E">
        <w:rPr>
          <w:rFonts w:ascii="Arial" w:hAnsi="Arial" w:cs="Arial"/>
          <w:sz w:val="20"/>
          <w:szCs w:val="20"/>
        </w:rPr>
        <w:t xml:space="preserve"> Medidas de desempeño financiero, metas y alcance:</w:t>
      </w:r>
    </w:p>
    <w:p w:rsidR="00557A7A" w:rsidRPr="006E394E" w:rsidRDefault="00557A7A" w:rsidP="00557A7A">
      <w:pPr>
        <w:jc w:val="both"/>
        <w:rPr>
          <w:rFonts w:ascii="Arial" w:hAnsi="Arial" w:cs="Arial"/>
          <w:sz w:val="20"/>
          <w:szCs w:val="20"/>
        </w:rPr>
      </w:pPr>
      <w:r w:rsidRPr="006E394E">
        <w:rPr>
          <w:rFonts w:ascii="Arial" w:hAnsi="Arial" w:cs="Arial"/>
          <w:sz w:val="20"/>
          <w:szCs w:val="20"/>
        </w:rPr>
        <w:t xml:space="preserve">En el Programa de Gobierno del Poder Ejecutivo del Estado de Guanajuato, en </w:t>
      </w:r>
      <w:r>
        <w:rPr>
          <w:rFonts w:ascii="Arial" w:hAnsi="Arial" w:cs="Arial"/>
          <w:sz w:val="20"/>
          <w:szCs w:val="20"/>
        </w:rPr>
        <w:t>los temas estratégicos para Guanajuato 202</w:t>
      </w:r>
      <w:r w:rsidR="00AA0CFF">
        <w:rPr>
          <w:rFonts w:ascii="Arial" w:hAnsi="Arial" w:cs="Arial"/>
          <w:sz w:val="20"/>
          <w:szCs w:val="20"/>
        </w:rPr>
        <w:t>6</w:t>
      </w:r>
      <w:r>
        <w:rPr>
          <w:rFonts w:ascii="Arial" w:hAnsi="Arial" w:cs="Arial"/>
          <w:sz w:val="20"/>
          <w:szCs w:val="20"/>
        </w:rPr>
        <w:t xml:space="preserve"> y específicamente en el denominado "Servicios de Salud con Calidad y Calidez para toda la Población", se indica que es necesario la realización de un diagnóstico de las variables relacionadas y su situación actual, acompañada de un análisis tendencial y prospectivo a un horizonte de 25 años. </w:t>
      </w:r>
      <w:r w:rsidRPr="00BC70AA">
        <w:rPr>
          <w:rFonts w:ascii="Arial" w:hAnsi="Arial" w:cs="Arial"/>
          <w:sz w:val="20"/>
          <w:szCs w:val="20"/>
        </w:rPr>
        <w:t>Estos elementos de análisis permitirán establecer prioridades y objetivos sólidos para alcanzar la visión del desarrollo del estado propuesta para este mismo periodo</w:t>
      </w:r>
      <w:r w:rsidRPr="006E394E">
        <w:rPr>
          <w:rFonts w:ascii="Arial" w:hAnsi="Arial" w:cs="Arial"/>
          <w:sz w:val="20"/>
          <w:szCs w:val="20"/>
        </w:rPr>
        <w:t>.</w:t>
      </w:r>
    </w:p>
    <w:p w:rsidR="00557A7A"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3</w:t>
      </w:r>
      <w:r w:rsidRPr="006E394E">
        <w:rPr>
          <w:rFonts w:ascii="Arial" w:hAnsi="Arial" w:cs="Arial"/>
          <w:b/>
          <w:sz w:val="20"/>
          <w:szCs w:val="20"/>
        </w:rPr>
        <w:t>. Información por Segmentos:</w:t>
      </w:r>
    </w:p>
    <w:p w:rsidR="00557A7A" w:rsidRDefault="00557A7A" w:rsidP="00557A7A">
      <w:pPr>
        <w:jc w:val="both"/>
        <w:rPr>
          <w:rFonts w:ascii="Arial" w:hAnsi="Arial" w:cs="Arial"/>
          <w:sz w:val="20"/>
          <w:szCs w:val="20"/>
        </w:rPr>
      </w:pPr>
      <w:r w:rsidRPr="006E394E">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557A7A" w:rsidRPr="006E394E" w:rsidRDefault="00557A7A" w:rsidP="00557A7A">
      <w:pPr>
        <w:jc w:val="both"/>
        <w:rPr>
          <w:rFonts w:ascii="Arial" w:hAnsi="Arial" w:cs="Arial"/>
          <w:sz w:val="20"/>
          <w:szCs w:val="20"/>
        </w:rPr>
      </w:pPr>
    </w:p>
    <w:p w:rsidR="00557A7A" w:rsidRDefault="00557A7A" w:rsidP="00557A7A">
      <w:pPr>
        <w:jc w:val="both"/>
        <w:rPr>
          <w:rFonts w:ascii="Arial" w:hAnsi="Arial" w:cs="Arial"/>
          <w:sz w:val="20"/>
          <w:szCs w:val="20"/>
        </w:rPr>
      </w:pPr>
      <w:r w:rsidRPr="006E394E">
        <w:rPr>
          <w:rFonts w:ascii="Arial" w:hAnsi="Arial" w:cs="Arial"/>
          <w:sz w:val="20"/>
          <w:szCs w:val="20"/>
        </w:rPr>
        <w:t>Consecuentemente, esta información contribuye al análisis más preciso de la situación financiera, grados y fuentes de riesgo y crecimiento potencial de negocio.</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 xml:space="preserve">El Instituto ejerce el presupuesto conforme a la programación que tiene una segmentación de acuerdo a las estructuras autorizadas en su Reglamento Interior, Organismos Desconcentrados por Territorio y Función, Unidades de Apoyo y </w:t>
      </w:r>
      <w:r>
        <w:rPr>
          <w:rFonts w:ascii="Arial" w:hAnsi="Arial" w:cs="Arial"/>
          <w:sz w:val="20"/>
          <w:szCs w:val="20"/>
        </w:rPr>
        <w:t>P</w:t>
      </w:r>
      <w:r w:rsidRPr="006E394E">
        <w:rPr>
          <w:rFonts w:ascii="Arial" w:hAnsi="Arial" w:cs="Arial"/>
          <w:sz w:val="20"/>
          <w:szCs w:val="20"/>
        </w:rPr>
        <w:t xml:space="preserve">royectos de Inversión, como se muestra en el reporte denominado “PROGRAMAS Y PROYECTOS DE INVERSIÓN” que incluye las unidades responsables, el cual forma parte de los Estados Financieros correspondientes a este periodo. </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4</w:t>
      </w:r>
      <w:r w:rsidRPr="006E394E">
        <w:rPr>
          <w:rFonts w:ascii="Arial" w:hAnsi="Arial" w:cs="Arial"/>
          <w:b/>
          <w:sz w:val="20"/>
          <w:szCs w:val="20"/>
        </w:rPr>
        <w:t>. Eventos Posteriores al Cierre:</w:t>
      </w:r>
    </w:p>
    <w:p w:rsidR="00557A7A" w:rsidRDefault="00557A7A" w:rsidP="00557A7A">
      <w:pPr>
        <w:jc w:val="both"/>
        <w:rPr>
          <w:rFonts w:ascii="Arial" w:hAnsi="Arial" w:cs="Arial"/>
          <w:sz w:val="20"/>
          <w:szCs w:val="20"/>
        </w:rPr>
      </w:pPr>
      <w:r w:rsidRPr="004A3C87">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4A3C87">
        <w:rPr>
          <w:rFonts w:ascii="Arial" w:hAnsi="Arial" w:cs="Arial"/>
          <w:sz w:val="20"/>
          <w:szCs w:val="20"/>
        </w:rPr>
        <w:cr/>
      </w: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5</w:t>
      </w:r>
      <w:r w:rsidRPr="006E394E">
        <w:rPr>
          <w:rFonts w:ascii="Arial" w:hAnsi="Arial" w:cs="Arial"/>
          <w:b/>
          <w:sz w:val="20"/>
          <w:szCs w:val="20"/>
        </w:rPr>
        <w:t>. Partes Relacionadas:</w:t>
      </w:r>
    </w:p>
    <w:p w:rsidR="00557A7A" w:rsidRDefault="00557A7A" w:rsidP="00557A7A">
      <w:pPr>
        <w:jc w:val="both"/>
        <w:rPr>
          <w:rFonts w:ascii="Arial" w:hAnsi="Arial" w:cs="Arial"/>
          <w:sz w:val="20"/>
          <w:szCs w:val="20"/>
        </w:rPr>
      </w:pPr>
      <w:r w:rsidRPr="006E394E">
        <w:rPr>
          <w:rFonts w:ascii="Arial" w:hAnsi="Arial" w:cs="Arial"/>
          <w:sz w:val="20"/>
          <w:szCs w:val="20"/>
        </w:rPr>
        <w:t>Se debe establecer por escrito que no existen partes relacionadas que pudieran ejercer influencia significativa sobre la toma de decisiones financieras y operativas:</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r w:rsidRPr="006E394E">
        <w:rPr>
          <w:rFonts w:ascii="Arial" w:hAnsi="Arial" w:cs="Arial"/>
          <w:sz w:val="20"/>
          <w:szCs w:val="20"/>
        </w:rPr>
        <w:t xml:space="preserve">El Instituto </w:t>
      </w:r>
      <w:r>
        <w:rPr>
          <w:rFonts w:ascii="Arial" w:hAnsi="Arial" w:cs="Arial"/>
          <w:sz w:val="20"/>
          <w:szCs w:val="20"/>
        </w:rPr>
        <w:t xml:space="preserve">no </w:t>
      </w:r>
      <w:r w:rsidRPr="006E394E">
        <w:rPr>
          <w:rFonts w:ascii="Arial" w:hAnsi="Arial" w:cs="Arial"/>
          <w:sz w:val="20"/>
          <w:szCs w:val="20"/>
        </w:rPr>
        <w:t>tiene celebrado convenio</w:t>
      </w:r>
      <w:r>
        <w:rPr>
          <w:rFonts w:ascii="Arial" w:hAnsi="Arial" w:cs="Arial"/>
          <w:sz w:val="20"/>
          <w:szCs w:val="20"/>
        </w:rPr>
        <w:t>s</w:t>
      </w:r>
      <w:r w:rsidRPr="006E394E">
        <w:rPr>
          <w:rFonts w:ascii="Arial" w:hAnsi="Arial" w:cs="Arial"/>
          <w:sz w:val="20"/>
          <w:szCs w:val="20"/>
        </w:rPr>
        <w:t xml:space="preserve"> de colaboración con </w:t>
      </w:r>
      <w:r>
        <w:rPr>
          <w:rFonts w:ascii="Arial" w:hAnsi="Arial" w:cs="Arial"/>
          <w:sz w:val="20"/>
          <w:szCs w:val="20"/>
        </w:rPr>
        <w:t>otra entidad gubernamental o privada.</w:t>
      </w:r>
      <w:r w:rsidRPr="006E394E">
        <w:rPr>
          <w:rFonts w:ascii="Arial" w:hAnsi="Arial" w:cs="Arial"/>
          <w:sz w:val="20"/>
          <w:szCs w:val="20"/>
        </w:rPr>
        <w:t xml:space="preserve"> </w:t>
      </w:r>
    </w:p>
    <w:p w:rsidR="00557A7A" w:rsidRDefault="00557A7A" w:rsidP="00557A7A">
      <w:pPr>
        <w:jc w:val="both"/>
        <w:rPr>
          <w:rFonts w:ascii="Arial" w:hAnsi="Arial" w:cs="Arial"/>
          <w:sz w:val="20"/>
          <w:szCs w:val="20"/>
        </w:rPr>
      </w:pPr>
    </w:p>
    <w:p w:rsidR="00557A7A" w:rsidRPr="006E394E" w:rsidRDefault="00557A7A" w:rsidP="00557A7A">
      <w:pPr>
        <w:jc w:val="both"/>
        <w:rPr>
          <w:rFonts w:ascii="Arial" w:hAnsi="Arial" w:cs="Arial"/>
          <w:sz w:val="20"/>
          <w:szCs w:val="20"/>
        </w:rPr>
      </w:pPr>
    </w:p>
    <w:p w:rsidR="00557A7A" w:rsidRPr="006E394E" w:rsidRDefault="00557A7A" w:rsidP="00557A7A">
      <w:pPr>
        <w:jc w:val="both"/>
        <w:rPr>
          <w:rFonts w:ascii="Arial" w:hAnsi="Arial" w:cs="Arial"/>
          <w:b/>
          <w:sz w:val="20"/>
          <w:szCs w:val="20"/>
        </w:rPr>
      </w:pPr>
      <w:r w:rsidRPr="006E394E">
        <w:rPr>
          <w:rFonts w:ascii="Arial" w:hAnsi="Arial" w:cs="Arial"/>
          <w:b/>
          <w:sz w:val="20"/>
          <w:szCs w:val="20"/>
        </w:rPr>
        <w:t>1</w:t>
      </w:r>
      <w:r>
        <w:rPr>
          <w:rFonts w:ascii="Arial" w:hAnsi="Arial" w:cs="Arial"/>
          <w:b/>
          <w:sz w:val="20"/>
          <w:szCs w:val="20"/>
        </w:rPr>
        <w:t>6</w:t>
      </w:r>
      <w:r w:rsidRPr="006E394E">
        <w:rPr>
          <w:rFonts w:ascii="Arial" w:hAnsi="Arial" w:cs="Arial"/>
          <w:b/>
          <w:sz w:val="20"/>
          <w:szCs w:val="20"/>
        </w:rPr>
        <w:t>. Responsabilidad Sobre la Presentación Razonable de la Información Contable:</w:t>
      </w:r>
    </w:p>
    <w:p w:rsidR="00557A7A" w:rsidRDefault="00557A7A" w:rsidP="00557A7A">
      <w:pPr>
        <w:jc w:val="both"/>
        <w:rPr>
          <w:rFonts w:ascii="Arial" w:hAnsi="Arial" w:cs="Arial"/>
          <w:sz w:val="20"/>
          <w:szCs w:val="20"/>
        </w:rPr>
      </w:pPr>
      <w:r w:rsidRPr="006E394E">
        <w:rPr>
          <w:rFonts w:ascii="Arial" w:hAnsi="Arial" w:cs="Arial"/>
          <w:sz w:val="20"/>
          <w:szCs w:val="20"/>
        </w:rPr>
        <w:t>La Información Contable se encuentra firmada en cada página de la misma e incluye al final la siguiente leyenda: “Bajo protesta de decir verdad declaramos que los Estados Financieros y sus notas, son razonablemente correctos y son responsabilidad del emisor”. Lo anterior, no será aplicable para la información contable consolidada.</w:t>
      </w:r>
    </w:p>
    <w:p w:rsidR="00557A7A" w:rsidRPr="006E394E" w:rsidRDefault="00557A7A" w:rsidP="00557A7A">
      <w:pPr>
        <w:jc w:val="both"/>
        <w:rPr>
          <w:rFonts w:ascii="Arial" w:hAnsi="Arial" w:cs="Arial"/>
          <w:sz w:val="20"/>
          <w:szCs w:val="20"/>
        </w:rPr>
      </w:pPr>
    </w:p>
    <w:p w:rsidR="00557A7A" w:rsidRDefault="00557A7A" w:rsidP="00557A7A">
      <w:r w:rsidRPr="006E394E">
        <w:rPr>
          <w:rFonts w:ascii="Arial" w:hAnsi="Arial" w:cs="Arial"/>
          <w:sz w:val="20"/>
          <w:szCs w:val="20"/>
        </w:rPr>
        <w:t xml:space="preserve">Los estados Financieros son firmados por </w:t>
      </w:r>
      <w:r>
        <w:rPr>
          <w:rFonts w:ascii="Arial" w:hAnsi="Arial" w:cs="Arial"/>
          <w:sz w:val="20"/>
          <w:szCs w:val="20"/>
        </w:rPr>
        <w:t xml:space="preserve">el responsable </w:t>
      </w:r>
      <w:r w:rsidRPr="006E394E">
        <w:rPr>
          <w:rFonts w:ascii="Arial" w:hAnsi="Arial" w:cs="Arial"/>
          <w:sz w:val="20"/>
          <w:szCs w:val="20"/>
        </w:rPr>
        <w:t>en apego a la normatividad vigente.</w:t>
      </w:r>
      <w:r w:rsidRPr="006E394E">
        <w:rPr>
          <w:rFonts w:ascii="Arial" w:hAnsi="Arial" w:cs="Arial"/>
          <w:sz w:val="20"/>
          <w:szCs w:val="20"/>
        </w:rPr>
        <w:cr/>
      </w:r>
      <w:bookmarkEnd w:id="5"/>
    </w:p>
    <w:p w:rsidR="00557A7A" w:rsidRPr="00A513A2" w:rsidRDefault="00557A7A" w:rsidP="00557A7A">
      <w:pPr>
        <w:jc w:val="both"/>
        <w:rPr>
          <w:rFonts w:cs="Calibri"/>
          <w:sz w:val="20"/>
          <w:szCs w:val="20"/>
          <w:u w:val="single"/>
        </w:rPr>
      </w:pPr>
      <w:r w:rsidRPr="00A513A2">
        <w:rPr>
          <w:rFonts w:cs="Calibri"/>
          <w:sz w:val="20"/>
          <w:szCs w:val="20"/>
        </w:rPr>
        <w:t>Bajo protesta de decir verdad declaramos que los Estados Financieros y sus notas, son razonablemente correctos y son responsabilidad del emisor</w:t>
      </w:r>
      <w:r>
        <w:rPr>
          <w:rFonts w:cs="Calibri"/>
          <w:sz w:val="20"/>
          <w:szCs w:val="20"/>
        </w:rPr>
        <w:t>.</w:t>
      </w:r>
    </w:p>
    <w:p w:rsidR="00557A7A" w:rsidRDefault="00557A7A" w:rsidP="00557A7A">
      <w:pPr>
        <w:jc w:val="both"/>
        <w:rPr>
          <w:rFonts w:cs="Calibri"/>
          <w:u w:val="single"/>
        </w:rPr>
      </w:pPr>
    </w:p>
    <w:p w:rsidR="00557A7A" w:rsidRDefault="00557A7A" w:rsidP="00557A7A">
      <w:pPr>
        <w:jc w:val="both"/>
        <w:rPr>
          <w:rFonts w:cs="Calibri"/>
          <w:u w:val="single"/>
        </w:rPr>
      </w:pPr>
    </w:p>
    <w:p w:rsidR="00557A7A" w:rsidRDefault="00557A7A" w:rsidP="00557A7A">
      <w:pPr>
        <w:jc w:val="both"/>
        <w:rPr>
          <w:rFonts w:cs="Calibri"/>
          <w:u w:val="single"/>
        </w:rPr>
      </w:pPr>
    </w:p>
    <w:p w:rsidR="001F55D9" w:rsidRDefault="001F55D9" w:rsidP="001F55D9">
      <w:pPr>
        <w:jc w:val="both"/>
        <w:rPr>
          <w:rFonts w:cs="Calibri"/>
          <w:u w:val="single"/>
        </w:rPr>
      </w:pPr>
    </w:p>
    <w:p w:rsidR="001F55D9" w:rsidRDefault="001F55D9" w:rsidP="001F55D9">
      <w:pPr>
        <w:jc w:val="both"/>
        <w:rPr>
          <w:rFonts w:cs="Calibri"/>
          <w:u w:val="single"/>
        </w:rPr>
      </w:pPr>
    </w:p>
    <w:bookmarkEnd w:id="0"/>
    <w:p w:rsidR="001F55D9" w:rsidRDefault="001F55D9" w:rsidP="00557A7A">
      <w:pPr>
        <w:jc w:val="both"/>
        <w:rPr>
          <w:noProof/>
        </w:rPr>
      </w:pPr>
    </w:p>
    <w:sectPr w:rsidR="001F55D9" w:rsidSect="00810ACF">
      <w:headerReference w:type="even" r:id="rId10"/>
      <w:headerReference w:type="default" r:id="rId11"/>
      <w:footerReference w:type="even" r:id="rId12"/>
      <w:footerReference w:type="default" r:id="rId13"/>
      <w:pgSz w:w="15840" w:h="12240" w:orient="landscape"/>
      <w:pgMar w:top="1531" w:right="1077" w:bottom="1077" w:left="1077"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409" w:rsidRDefault="00576409" w:rsidP="00EA5418">
      <w:r>
        <w:separator/>
      </w:r>
    </w:p>
  </w:endnote>
  <w:endnote w:type="continuationSeparator" w:id="0">
    <w:p w:rsidR="00576409" w:rsidRDefault="00576409" w:rsidP="00EA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oberana Sans Light">
    <w:altName w:val="Calibri"/>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CC" w:rsidRPr="001E3B9D" w:rsidRDefault="005E6BCC" w:rsidP="0013011C">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4294967295" distB="4294967295" distL="114300" distR="114300" simplePos="0" relativeHeight="251675648" behindDoc="0" locked="0" layoutInCell="1" allowOverlap="1">
              <wp:simplePos x="0" y="0"/>
              <wp:positionH relativeFrom="column">
                <wp:posOffset>-676275</wp:posOffset>
              </wp:positionH>
              <wp:positionV relativeFrom="paragraph">
                <wp:posOffset>-32386</wp:posOffset>
              </wp:positionV>
              <wp:extent cx="10029825" cy="0"/>
              <wp:effectExtent l="0" t="0" r="0" b="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74E98C7" id="Line 29"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" strokecolor="#4579b8 [3044]" strokeweight="1.5pt"/>
          </w:pict>
        </mc:Fallback>
      </mc:AlternateContent>
    </w:r>
    <w:r>
      <w:rPr>
        <w:rFonts w:ascii="Arial" w:hAnsi="Arial" w:cs="Arial"/>
        <w:color w:val="808080" w:themeColor="background1" w:themeShade="80"/>
        <w:sz w:val="20"/>
        <w:szCs w:val="20"/>
      </w:rPr>
      <w:t>Información Financiera</w:t>
    </w:r>
    <w:r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EndPr/>
      <w:sdtContent>
        <w:r w:rsidRPr="001E3B9D">
          <w:rPr>
            <w:rFonts w:ascii="Arial" w:hAnsi="Arial" w:cs="Arial"/>
            <w:color w:val="808080" w:themeColor="background1" w:themeShade="80"/>
            <w:sz w:val="20"/>
            <w:szCs w:val="20"/>
          </w:rPr>
          <w:fldChar w:fldCharType="begin"/>
        </w:r>
        <w:r w:rsidRPr="001E3B9D">
          <w:rPr>
            <w:rFonts w:ascii="Arial" w:hAnsi="Arial" w:cs="Arial"/>
            <w:color w:val="808080" w:themeColor="background1" w:themeShade="80"/>
            <w:sz w:val="20"/>
            <w:szCs w:val="20"/>
          </w:rPr>
          <w:instrText>PAGE   \* MERGEFORMAT</w:instrText>
        </w:r>
        <w:r w:rsidRPr="001E3B9D">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14</w:t>
        </w:r>
        <w:r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CC" w:rsidRPr="00584484" w:rsidRDefault="005E6BCC" w:rsidP="008E3652">
    <w:pPr>
      <w:pStyle w:val="Piedepgina"/>
      <w:jc w:val="center"/>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s-MX" w:eastAsia="es-MX"/>
      </w:rPr>
      <mc:AlternateContent>
        <mc:Choice Requires="wps">
          <w:drawing>
            <wp:anchor distT="4294967295" distB="4294967295" distL="114300" distR="114300" simplePos="0" relativeHeight="251673600" behindDoc="0" locked="0" layoutInCell="1" allowOverlap="1">
              <wp:simplePos x="0" y="0"/>
              <wp:positionH relativeFrom="column">
                <wp:posOffset>-676275</wp:posOffset>
              </wp:positionH>
              <wp:positionV relativeFrom="paragraph">
                <wp:posOffset>-32386</wp:posOffset>
              </wp:positionV>
              <wp:extent cx="10029825" cy="0"/>
              <wp:effectExtent l="0" t="0" r="0" b="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61842B1" id="Line 27"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" strokecolor="#4579b8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EndPr/>
      <w:sdtContent>
        <w:r>
          <w:rPr>
            <w:rFonts w:ascii="Arial" w:hAnsi="Arial" w:cs="Arial"/>
            <w:color w:val="808080" w:themeColor="background1" w:themeShade="80"/>
            <w:sz w:val="20"/>
            <w:szCs w:val="20"/>
          </w:rPr>
          <w:t>Información Financiera</w:t>
        </w:r>
        <w:r w:rsidRPr="00584484">
          <w:rPr>
            <w:rFonts w:ascii="Arial" w:hAnsi="Arial" w:cs="Arial"/>
            <w:color w:val="808080" w:themeColor="background1" w:themeShade="80"/>
            <w:sz w:val="20"/>
            <w:szCs w:val="20"/>
          </w:rPr>
          <w:t xml:space="preserve"> / </w:t>
        </w:r>
        <w:r w:rsidRPr="00584484">
          <w:rPr>
            <w:rFonts w:ascii="Arial" w:hAnsi="Arial" w:cs="Arial"/>
            <w:color w:val="808080" w:themeColor="background1" w:themeShade="80"/>
            <w:sz w:val="20"/>
            <w:szCs w:val="20"/>
          </w:rPr>
          <w:fldChar w:fldCharType="begin"/>
        </w:r>
        <w:r w:rsidRPr="00584484">
          <w:rPr>
            <w:rFonts w:ascii="Arial" w:hAnsi="Arial" w:cs="Arial"/>
            <w:color w:val="808080" w:themeColor="background1" w:themeShade="80"/>
            <w:sz w:val="20"/>
            <w:szCs w:val="20"/>
          </w:rPr>
          <w:instrText>PAGE   \* MERGEFORMAT</w:instrText>
        </w:r>
        <w:r w:rsidRPr="00584484">
          <w:rPr>
            <w:rFonts w:ascii="Arial" w:hAnsi="Arial" w:cs="Arial"/>
            <w:color w:val="808080" w:themeColor="background1" w:themeShade="80"/>
            <w:sz w:val="20"/>
            <w:szCs w:val="20"/>
          </w:rPr>
          <w:fldChar w:fldCharType="separate"/>
        </w:r>
        <w:r>
          <w:rPr>
            <w:rFonts w:ascii="Arial" w:hAnsi="Arial" w:cs="Arial"/>
            <w:noProof/>
            <w:color w:val="808080" w:themeColor="background1" w:themeShade="80"/>
            <w:sz w:val="20"/>
            <w:szCs w:val="20"/>
          </w:rPr>
          <w:t>13</w:t>
        </w:r>
        <w:r w:rsidRPr="00584484">
          <w:rPr>
            <w:rFonts w:ascii="Arial" w:hAnsi="Arial" w:cs="Arial"/>
            <w:color w:val="808080" w:themeColor="background1" w:themeShade="80"/>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409" w:rsidRDefault="00576409" w:rsidP="00EA5418">
      <w:r>
        <w:separator/>
      </w:r>
    </w:p>
  </w:footnote>
  <w:footnote w:type="continuationSeparator" w:id="0">
    <w:p w:rsidR="00576409" w:rsidRDefault="00576409" w:rsidP="00EA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CC" w:rsidRDefault="005E6BCC" w:rsidP="000B489A">
    <w:pPr>
      <w:pStyle w:val="Encabezado"/>
      <w:tabs>
        <w:tab w:val="clear" w:pos="4419"/>
        <w:tab w:val="clear" w:pos="8838"/>
        <w:tab w:val="left" w:pos="6804"/>
        <w:tab w:val="left" w:pos="7961"/>
      </w:tabs>
    </w:pPr>
    <w:r>
      <w:rPr>
        <w:rFonts w:ascii="Soberana Sans Light" w:hAnsi="Soberana Sans Light"/>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1941830</wp:posOffset>
              </wp:positionH>
              <wp:positionV relativeFrom="paragraph">
                <wp:posOffset>-265430</wp:posOffset>
              </wp:positionV>
              <wp:extent cx="2767330" cy="427355"/>
              <wp:effectExtent l="0" t="0" r="0" b="0"/>
              <wp:wrapNone/>
              <wp:docPr id="18"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27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BCC" w:rsidRPr="00584484" w:rsidRDefault="005E6BCC"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5E6BCC" w:rsidRPr="00410C0A" w:rsidRDefault="005E6BCC"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5E6BCC" w:rsidRPr="00584484" w:rsidRDefault="005E6BCC"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152.9pt;margin-top:-20.9pt;width:217.9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" stroked="f">
              <v:textbox>
                <w:txbxContent>
                  <w:p w:rsidR="00CA3E96" w:rsidRPr="00584484" w:rsidRDefault="00CA3E96"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rsidR="00CA3E96" w:rsidRPr="00410C0A" w:rsidRDefault="00CA3E96"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rsidR="00CA3E96" w:rsidRPr="00584484" w:rsidRDefault="00CA3E96"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v:textbox>
            </v:shape>
          </w:pict>
        </mc:Fallback>
      </mc:AlternateContent>
    </w:r>
    <w:r>
      <w:rPr>
        <w:rFonts w:ascii="Soberana Sans Light" w:hAnsi="Soberana Sans Light"/>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4657725</wp:posOffset>
              </wp:positionH>
              <wp:positionV relativeFrom="paragraph">
                <wp:posOffset>-195580</wp:posOffset>
              </wp:positionV>
              <wp:extent cx="838835" cy="328930"/>
              <wp:effectExtent l="0" t="0" r="0" b="0"/>
              <wp:wrapNone/>
              <wp:docPr id="16"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6BCC" w:rsidRPr="00E9097D" w:rsidRDefault="005E6BCC"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7" type="#_x0000_t202" style="position:absolute;margin-left:366.75pt;margin-top:-15.4pt;width:66.05pt;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" stroked="f">
              <v:textbox>
                <w:txbxContent>
                  <w:p w:rsidR="00CA3E96" w:rsidRPr="00E9097D" w:rsidRDefault="00CA3E96"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2026</w:t>
                    </w:r>
                  </w:p>
                </w:txbxContent>
              </v:textbox>
            </v:shape>
          </w:pict>
        </mc:Fallback>
      </mc:AlternateContent>
    </w:r>
    <w:r>
      <w:rPr>
        <w:rFonts w:ascii="Soberana Sans Light" w:hAnsi="Soberana Sans Light"/>
        <w:noProof/>
        <w:lang w:val="es-MX" w:eastAsia="es-MX"/>
      </w:rPr>
      <mc:AlternateContent>
        <mc:Choice Requires="wps">
          <w:drawing>
            <wp:anchor distT="4294967295" distB="4294967295" distL="114300" distR="114300" simplePos="0" relativeHeight="251663360" behindDoc="0" locked="0" layoutInCell="1" allowOverlap="1">
              <wp:simplePos x="0" y="0"/>
              <wp:positionH relativeFrom="column">
                <wp:posOffset>-676275</wp:posOffset>
              </wp:positionH>
              <wp:positionV relativeFrom="paragraph">
                <wp:posOffset>210819</wp:posOffset>
              </wp:positionV>
              <wp:extent cx="10029825" cy="0"/>
              <wp:effectExtent l="0" t="0" r="0" b="0"/>
              <wp:wrapNone/>
              <wp:docPr id="1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19C3489" id="4 Conector recto"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" strokecolor="#4579b8"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6BCC" w:rsidRPr="007D16CA" w:rsidRDefault="005E6BCC" w:rsidP="00410C0A">
    <w:pPr>
      <w:pStyle w:val="Encabezado"/>
      <w:jc w:val="center"/>
      <w:rPr>
        <w:rFonts w:ascii="Arial" w:hAnsi="Arial" w:cs="Arial"/>
        <w:color w:val="808080" w:themeColor="background1" w:themeShade="80"/>
        <w:sz w:val="20"/>
        <w:szCs w:val="20"/>
      </w:rPr>
    </w:pPr>
    <w:r>
      <w:rPr>
        <w:rFonts w:ascii="Arial" w:hAnsi="Arial" w:cs="Arial"/>
        <w:noProof/>
        <w:lang w:val="es-MX" w:eastAsia="es-MX"/>
      </w:rPr>
      <mc:AlternateContent>
        <mc:Choice Requires="wps">
          <w:drawing>
            <wp:anchor distT="4294967295" distB="4294967295" distL="114300" distR="114300" simplePos="0" relativeHeight="251674624" behindDoc="0" locked="0" layoutInCell="1" allowOverlap="1">
              <wp:simplePos x="0" y="0"/>
              <wp:positionH relativeFrom="column">
                <wp:posOffset>-683895</wp:posOffset>
              </wp:positionH>
              <wp:positionV relativeFrom="paragraph">
                <wp:posOffset>213359</wp:posOffset>
              </wp:positionV>
              <wp:extent cx="10065385" cy="0"/>
              <wp:effectExtent l="0" t="0" r="0" b="0"/>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00B3596" id="Line 28"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" strokecolor="#4579b8 [3044]" strokeweight="1.5pt"/>
          </w:pict>
        </mc:Fallback>
      </mc:AlternateContent>
    </w:r>
    <w:r>
      <w:rPr>
        <w:rFonts w:ascii="Arial" w:hAnsi="Arial" w:cs="Arial"/>
        <w:color w:val="808080" w:themeColor="background1" w:themeShade="80"/>
        <w:sz w:val="20"/>
        <w:szCs w:val="20"/>
      </w:rPr>
      <w:t>INSTITUTO DE SALUD PÚBLICA DEL ESTADO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2DD7B3B"/>
    <w:multiLevelType w:val="hybridMultilevel"/>
    <w:tmpl w:val="B04A8CE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474A7F"/>
    <w:multiLevelType w:val="multilevel"/>
    <w:tmpl w:val="1D1063BA"/>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7E61B4"/>
    <w:multiLevelType w:val="hybridMultilevel"/>
    <w:tmpl w:val="A6B27470"/>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5D5DFE"/>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6C12B52"/>
    <w:multiLevelType w:val="hybridMultilevel"/>
    <w:tmpl w:val="406A70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E60E04"/>
    <w:multiLevelType w:val="multilevel"/>
    <w:tmpl w:val="594C19BC"/>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556C6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7117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397287"/>
    <w:multiLevelType w:val="hybridMultilevel"/>
    <w:tmpl w:val="00B22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42642B73"/>
    <w:multiLevelType w:val="hybridMultilevel"/>
    <w:tmpl w:val="23D63CB2"/>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C5801D3"/>
    <w:multiLevelType w:val="hybridMultilevel"/>
    <w:tmpl w:val="69C4FB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691E88"/>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0CA2AC9"/>
    <w:multiLevelType w:val="hybridMultilevel"/>
    <w:tmpl w:val="3600EB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1DE77E4"/>
    <w:multiLevelType w:val="hybridMultilevel"/>
    <w:tmpl w:val="8AAA07C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C4E6776"/>
    <w:multiLevelType w:val="hybridMultilevel"/>
    <w:tmpl w:val="A42808DA"/>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9" w15:restartNumberingAfterBreak="0">
    <w:nsid w:val="68C22BB2"/>
    <w:multiLevelType w:val="hybridMultilevel"/>
    <w:tmpl w:val="FA02D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A1E4ED9"/>
    <w:multiLevelType w:val="hybridMultilevel"/>
    <w:tmpl w:val="517EC68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D9256D"/>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D52179"/>
    <w:multiLevelType w:val="hybridMultilevel"/>
    <w:tmpl w:val="87BEF09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23378C"/>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5"/>
  </w:num>
  <w:num w:numId="3">
    <w:abstractNumId w:val="12"/>
  </w:num>
  <w:num w:numId="4">
    <w:abstractNumId w:val="9"/>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3"/>
  </w:num>
  <w:num w:numId="8">
    <w:abstractNumId w:val="11"/>
  </w:num>
  <w:num w:numId="9">
    <w:abstractNumId w:val="6"/>
  </w:num>
  <w:num w:numId="10">
    <w:abstractNumId w:val="14"/>
  </w:num>
  <w:num w:numId="11">
    <w:abstractNumId w:val="16"/>
  </w:num>
  <w:num w:numId="12">
    <w:abstractNumId w:val="20"/>
  </w:num>
  <w:num w:numId="13">
    <w:abstractNumId w:val="17"/>
  </w:num>
  <w:num w:numId="14">
    <w:abstractNumId w:val="4"/>
  </w:num>
  <w:num w:numId="15">
    <w:abstractNumId w:val="15"/>
  </w:num>
  <w:num w:numId="16">
    <w:abstractNumId w:val="3"/>
  </w:num>
  <w:num w:numId="17">
    <w:abstractNumId w:val="22"/>
  </w:num>
  <w:num w:numId="18">
    <w:abstractNumId w:val="10"/>
  </w:num>
  <w:num w:numId="19">
    <w:abstractNumId w:val="8"/>
  </w:num>
  <w:num w:numId="20">
    <w:abstractNumId w:val="7"/>
  </w:num>
  <w:num w:numId="21">
    <w:abstractNumId w:val="1"/>
  </w:num>
  <w:num w:numId="22">
    <w:abstractNumId w:val="2"/>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0AEB"/>
    <w:rsid w:val="00003241"/>
    <w:rsid w:val="00006DA1"/>
    <w:rsid w:val="000164DB"/>
    <w:rsid w:val="00026925"/>
    <w:rsid w:val="00026D17"/>
    <w:rsid w:val="000300AF"/>
    <w:rsid w:val="00030434"/>
    <w:rsid w:val="00031801"/>
    <w:rsid w:val="00033FEC"/>
    <w:rsid w:val="000355E9"/>
    <w:rsid w:val="00037FE0"/>
    <w:rsid w:val="00040466"/>
    <w:rsid w:val="000405FE"/>
    <w:rsid w:val="0004218E"/>
    <w:rsid w:val="000421CB"/>
    <w:rsid w:val="00043CBE"/>
    <w:rsid w:val="00045203"/>
    <w:rsid w:val="00045A80"/>
    <w:rsid w:val="0005062F"/>
    <w:rsid w:val="00051ECA"/>
    <w:rsid w:val="000520B6"/>
    <w:rsid w:val="00054908"/>
    <w:rsid w:val="00056042"/>
    <w:rsid w:val="00061038"/>
    <w:rsid w:val="000616E8"/>
    <w:rsid w:val="00061A86"/>
    <w:rsid w:val="00062DBE"/>
    <w:rsid w:val="0006667D"/>
    <w:rsid w:val="00066E22"/>
    <w:rsid w:val="00070FD9"/>
    <w:rsid w:val="000733A4"/>
    <w:rsid w:val="00094277"/>
    <w:rsid w:val="000963D2"/>
    <w:rsid w:val="00096A20"/>
    <w:rsid w:val="00097AB0"/>
    <w:rsid w:val="000A4BED"/>
    <w:rsid w:val="000A5070"/>
    <w:rsid w:val="000A6167"/>
    <w:rsid w:val="000A669D"/>
    <w:rsid w:val="000B3C7C"/>
    <w:rsid w:val="000B489A"/>
    <w:rsid w:val="000B670E"/>
    <w:rsid w:val="000C257E"/>
    <w:rsid w:val="000C2B2E"/>
    <w:rsid w:val="000C3A2A"/>
    <w:rsid w:val="000C4654"/>
    <w:rsid w:val="000C75BE"/>
    <w:rsid w:val="000D5FBB"/>
    <w:rsid w:val="000D799B"/>
    <w:rsid w:val="000E1199"/>
    <w:rsid w:val="000E1254"/>
    <w:rsid w:val="000E5608"/>
    <w:rsid w:val="000F22A6"/>
    <w:rsid w:val="000F3BAA"/>
    <w:rsid w:val="000F5D09"/>
    <w:rsid w:val="000F7962"/>
    <w:rsid w:val="0010245D"/>
    <w:rsid w:val="00106381"/>
    <w:rsid w:val="00106804"/>
    <w:rsid w:val="00107A57"/>
    <w:rsid w:val="00110152"/>
    <w:rsid w:val="00112B2E"/>
    <w:rsid w:val="001136C9"/>
    <w:rsid w:val="00114238"/>
    <w:rsid w:val="00114DE7"/>
    <w:rsid w:val="001203CB"/>
    <w:rsid w:val="00120FC0"/>
    <w:rsid w:val="0012194C"/>
    <w:rsid w:val="00121C91"/>
    <w:rsid w:val="001232D2"/>
    <w:rsid w:val="00125A9B"/>
    <w:rsid w:val="00126634"/>
    <w:rsid w:val="0013011C"/>
    <w:rsid w:val="00136010"/>
    <w:rsid w:val="00137B35"/>
    <w:rsid w:val="001406C3"/>
    <w:rsid w:val="00140D63"/>
    <w:rsid w:val="001423F1"/>
    <w:rsid w:val="001429AA"/>
    <w:rsid w:val="001439FE"/>
    <w:rsid w:val="00145121"/>
    <w:rsid w:val="00153A59"/>
    <w:rsid w:val="0015606C"/>
    <w:rsid w:val="00156F61"/>
    <w:rsid w:val="00161F91"/>
    <w:rsid w:val="001636DD"/>
    <w:rsid w:val="001646D9"/>
    <w:rsid w:val="00165757"/>
    <w:rsid w:val="00165BF7"/>
    <w:rsid w:val="001721E7"/>
    <w:rsid w:val="00174A37"/>
    <w:rsid w:val="00175D57"/>
    <w:rsid w:val="00177FBB"/>
    <w:rsid w:val="001814E1"/>
    <w:rsid w:val="00184B82"/>
    <w:rsid w:val="001853A4"/>
    <w:rsid w:val="00186AB0"/>
    <w:rsid w:val="001908EA"/>
    <w:rsid w:val="001A05C7"/>
    <w:rsid w:val="001A6FC3"/>
    <w:rsid w:val="001B0D37"/>
    <w:rsid w:val="001B0EA9"/>
    <w:rsid w:val="001B0EC5"/>
    <w:rsid w:val="001B1B72"/>
    <w:rsid w:val="001B262F"/>
    <w:rsid w:val="001B2C8B"/>
    <w:rsid w:val="001B71C9"/>
    <w:rsid w:val="001B7806"/>
    <w:rsid w:val="001C0F11"/>
    <w:rsid w:val="001C169C"/>
    <w:rsid w:val="001C5386"/>
    <w:rsid w:val="001C6F93"/>
    <w:rsid w:val="001D0B43"/>
    <w:rsid w:val="001D36FA"/>
    <w:rsid w:val="001D77CF"/>
    <w:rsid w:val="001E00C6"/>
    <w:rsid w:val="001E0675"/>
    <w:rsid w:val="001E3B9D"/>
    <w:rsid w:val="001E7F9E"/>
    <w:rsid w:val="001F4E85"/>
    <w:rsid w:val="001F55D9"/>
    <w:rsid w:val="001F5AD2"/>
    <w:rsid w:val="001F620C"/>
    <w:rsid w:val="001F6740"/>
    <w:rsid w:val="0020107A"/>
    <w:rsid w:val="002011AB"/>
    <w:rsid w:val="00201611"/>
    <w:rsid w:val="002043BD"/>
    <w:rsid w:val="00205304"/>
    <w:rsid w:val="00205868"/>
    <w:rsid w:val="0020643A"/>
    <w:rsid w:val="002073FD"/>
    <w:rsid w:val="002130C3"/>
    <w:rsid w:val="00215CC6"/>
    <w:rsid w:val="002177CB"/>
    <w:rsid w:val="00217EA0"/>
    <w:rsid w:val="0022323F"/>
    <w:rsid w:val="00227E0F"/>
    <w:rsid w:val="0023088A"/>
    <w:rsid w:val="0023154A"/>
    <w:rsid w:val="00232026"/>
    <w:rsid w:val="00233A20"/>
    <w:rsid w:val="0023773C"/>
    <w:rsid w:val="00245B10"/>
    <w:rsid w:val="00246794"/>
    <w:rsid w:val="002503CB"/>
    <w:rsid w:val="002530B9"/>
    <w:rsid w:val="0025625E"/>
    <w:rsid w:val="0025714C"/>
    <w:rsid w:val="0026216E"/>
    <w:rsid w:val="00262E4D"/>
    <w:rsid w:val="0026420C"/>
    <w:rsid w:val="0026488C"/>
    <w:rsid w:val="00266491"/>
    <w:rsid w:val="00266DB0"/>
    <w:rsid w:val="00273859"/>
    <w:rsid w:val="00284168"/>
    <w:rsid w:val="002864BC"/>
    <w:rsid w:val="0028780C"/>
    <w:rsid w:val="002906E8"/>
    <w:rsid w:val="00292487"/>
    <w:rsid w:val="00293A60"/>
    <w:rsid w:val="002A3885"/>
    <w:rsid w:val="002A70B3"/>
    <w:rsid w:val="002B69D8"/>
    <w:rsid w:val="002B6BA9"/>
    <w:rsid w:val="002D2737"/>
    <w:rsid w:val="002D4E31"/>
    <w:rsid w:val="002D7B66"/>
    <w:rsid w:val="002E038A"/>
    <w:rsid w:val="002E3600"/>
    <w:rsid w:val="002E5E71"/>
    <w:rsid w:val="002E764A"/>
    <w:rsid w:val="002E7A4E"/>
    <w:rsid w:val="002F29EE"/>
    <w:rsid w:val="00300A8C"/>
    <w:rsid w:val="00305054"/>
    <w:rsid w:val="00307635"/>
    <w:rsid w:val="003079BC"/>
    <w:rsid w:val="00310A9A"/>
    <w:rsid w:val="00313583"/>
    <w:rsid w:val="0031392B"/>
    <w:rsid w:val="00313B32"/>
    <w:rsid w:val="00313FB0"/>
    <w:rsid w:val="003222DE"/>
    <w:rsid w:val="003233F2"/>
    <w:rsid w:val="0032547C"/>
    <w:rsid w:val="0032724B"/>
    <w:rsid w:val="0032782B"/>
    <w:rsid w:val="003332A7"/>
    <w:rsid w:val="0033464B"/>
    <w:rsid w:val="003364E9"/>
    <w:rsid w:val="00341FDC"/>
    <w:rsid w:val="003445F3"/>
    <w:rsid w:val="003502F3"/>
    <w:rsid w:val="00355821"/>
    <w:rsid w:val="0036009C"/>
    <w:rsid w:val="00360794"/>
    <w:rsid w:val="003610E0"/>
    <w:rsid w:val="003702C1"/>
    <w:rsid w:val="00370B66"/>
    <w:rsid w:val="00372F40"/>
    <w:rsid w:val="00375A8C"/>
    <w:rsid w:val="00381099"/>
    <w:rsid w:val="003820CA"/>
    <w:rsid w:val="00382CCB"/>
    <w:rsid w:val="00394920"/>
    <w:rsid w:val="00397D4C"/>
    <w:rsid w:val="003A0365"/>
    <w:rsid w:val="003A0375"/>
    <w:rsid w:val="003A0EE2"/>
    <w:rsid w:val="003A1276"/>
    <w:rsid w:val="003A5CD4"/>
    <w:rsid w:val="003B1B6E"/>
    <w:rsid w:val="003C0908"/>
    <w:rsid w:val="003C650B"/>
    <w:rsid w:val="003D0FBA"/>
    <w:rsid w:val="003D5DBF"/>
    <w:rsid w:val="003E3586"/>
    <w:rsid w:val="003E5E58"/>
    <w:rsid w:val="003E6B8D"/>
    <w:rsid w:val="003E7FD0"/>
    <w:rsid w:val="003F0392"/>
    <w:rsid w:val="003F43C7"/>
    <w:rsid w:val="0040568C"/>
    <w:rsid w:val="004062F0"/>
    <w:rsid w:val="00410AF3"/>
    <w:rsid w:val="00410C0A"/>
    <w:rsid w:val="0041268A"/>
    <w:rsid w:val="00412705"/>
    <w:rsid w:val="00412EB1"/>
    <w:rsid w:val="00414245"/>
    <w:rsid w:val="00417817"/>
    <w:rsid w:val="004178CA"/>
    <w:rsid w:val="00424383"/>
    <w:rsid w:val="00426E16"/>
    <w:rsid w:val="0042749C"/>
    <w:rsid w:val="0044136B"/>
    <w:rsid w:val="0044253C"/>
    <w:rsid w:val="0044273A"/>
    <w:rsid w:val="0044279B"/>
    <w:rsid w:val="004427A8"/>
    <w:rsid w:val="00442BD3"/>
    <w:rsid w:val="004437A5"/>
    <w:rsid w:val="00444A3D"/>
    <w:rsid w:val="0045769F"/>
    <w:rsid w:val="00460877"/>
    <w:rsid w:val="00460FE9"/>
    <w:rsid w:val="0046125D"/>
    <w:rsid w:val="00462F48"/>
    <w:rsid w:val="0046612F"/>
    <w:rsid w:val="00467610"/>
    <w:rsid w:val="0047223C"/>
    <w:rsid w:val="00472597"/>
    <w:rsid w:val="00473EA6"/>
    <w:rsid w:val="004764FC"/>
    <w:rsid w:val="00481BB6"/>
    <w:rsid w:val="00486AE1"/>
    <w:rsid w:val="004915D1"/>
    <w:rsid w:val="00491C7C"/>
    <w:rsid w:val="00491EDD"/>
    <w:rsid w:val="004939F2"/>
    <w:rsid w:val="00493FA8"/>
    <w:rsid w:val="00495751"/>
    <w:rsid w:val="00497D8B"/>
    <w:rsid w:val="004A49A1"/>
    <w:rsid w:val="004B01D6"/>
    <w:rsid w:val="004B041D"/>
    <w:rsid w:val="004B284E"/>
    <w:rsid w:val="004B3322"/>
    <w:rsid w:val="004B5E75"/>
    <w:rsid w:val="004B6537"/>
    <w:rsid w:val="004B6EB5"/>
    <w:rsid w:val="004C038D"/>
    <w:rsid w:val="004C0598"/>
    <w:rsid w:val="004C2F0A"/>
    <w:rsid w:val="004D41B8"/>
    <w:rsid w:val="004D4F5D"/>
    <w:rsid w:val="004D72DD"/>
    <w:rsid w:val="004E2E00"/>
    <w:rsid w:val="004F09C0"/>
    <w:rsid w:val="004F29CC"/>
    <w:rsid w:val="004F50D8"/>
    <w:rsid w:val="004F6955"/>
    <w:rsid w:val="00502D8E"/>
    <w:rsid w:val="005033CB"/>
    <w:rsid w:val="00506351"/>
    <w:rsid w:val="0050650B"/>
    <w:rsid w:val="00511628"/>
    <w:rsid w:val="005117F4"/>
    <w:rsid w:val="00514DB1"/>
    <w:rsid w:val="00515B3A"/>
    <w:rsid w:val="00516D35"/>
    <w:rsid w:val="00522632"/>
    <w:rsid w:val="0052453B"/>
    <w:rsid w:val="00524746"/>
    <w:rsid w:val="00524CF6"/>
    <w:rsid w:val="00527528"/>
    <w:rsid w:val="00531310"/>
    <w:rsid w:val="00534982"/>
    <w:rsid w:val="00540418"/>
    <w:rsid w:val="00557A7A"/>
    <w:rsid w:val="00562867"/>
    <w:rsid w:val="005640C6"/>
    <w:rsid w:val="00565128"/>
    <w:rsid w:val="00565BC3"/>
    <w:rsid w:val="00567E46"/>
    <w:rsid w:val="005706D9"/>
    <w:rsid w:val="0057126B"/>
    <w:rsid w:val="00572656"/>
    <w:rsid w:val="00572976"/>
    <w:rsid w:val="00575404"/>
    <w:rsid w:val="0057638B"/>
    <w:rsid w:val="00576409"/>
    <w:rsid w:val="00576A8D"/>
    <w:rsid w:val="00582405"/>
    <w:rsid w:val="00584484"/>
    <w:rsid w:val="005855FA"/>
    <w:rsid w:val="005859FA"/>
    <w:rsid w:val="00595CAD"/>
    <w:rsid w:val="00596CFC"/>
    <w:rsid w:val="00596D2E"/>
    <w:rsid w:val="005A2589"/>
    <w:rsid w:val="005A285B"/>
    <w:rsid w:val="005A371E"/>
    <w:rsid w:val="005B1D10"/>
    <w:rsid w:val="005B6522"/>
    <w:rsid w:val="005C31D4"/>
    <w:rsid w:val="005C74A9"/>
    <w:rsid w:val="005D2601"/>
    <w:rsid w:val="005D3750"/>
    <w:rsid w:val="005D37DE"/>
    <w:rsid w:val="005D63B6"/>
    <w:rsid w:val="005E1B2D"/>
    <w:rsid w:val="005E43F4"/>
    <w:rsid w:val="005E6214"/>
    <w:rsid w:val="005E6BCC"/>
    <w:rsid w:val="005F38CB"/>
    <w:rsid w:val="005F4E85"/>
    <w:rsid w:val="00601287"/>
    <w:rsid w:val="006046CA"/>
    <w:rsid w:val="006048D2"/>
    <w:rsid w:val="006103AC"/>
    <w:rsid w:val="00611E39"/>
    <w:rsid w:val="006131B3"/>
    <w:rsid w:val="006133D2"/>
    <w:rsid w:val="00613A39"/>
    <w:rsid w:val="006147C2"/>
    <w:rsid w:val="0061642B"/>
    <w:rsid w:val="00620036"/>
    <w:rsid w:val="00620E8D"/>
    <w:rsid w:val="00624AF0"/>
    <w:rsid w:val="00633237"/>
    <w:rsid w:val="0063680C"/>
    <w:rsid w:val="00636BC8"/>
    <w:rsid w:val="006371E0"/>
    <w:rsid w:val="00640089"/>
    <w:rsid w:val="006407C6"/>
    <w:rsid w:val="00640E11"/>
    <w:rsid w:val="00641410"/>
    <w:rsid w:val="006429CD"/>
    <w:rsid w:val="00643630"/>
    <w:rsid w:val="006453C1"/>
    <w:rsid w:val="0065283C"/>
    <w:rsid w:val="0065490B"/>
    <w:rsid w:val="00655F63"/>
    <w:rsid w:val="00656FD3"/>
    <w:rsid w:val="00660F7F"/>
    <w:rsid w:val="00661772"/>
    <w:rsid w:val="00662E1A"/>
    <w:rsid w:val="00664EA2"/>
    <w:rsid w:val="00665222"/>
    <w:rsid w:val="006668AF"/>
    <w:rsid w:val="00676D1E"/>
    <w:rsid w:val="006817A5"/>
    <w:rsid w:val="00682DA8"/>
    <w:rsid w:val="006830CB"/>
    <w:rsid w:val="00684AF3"/>
    <w:rsid w:val="00686BEB"/>
    <w:rsid w:val="006A0B2C"/>
    <w:rsid w:val="006A59D7"/>
    <w:rsid w:val="006A605D"/>
    <w:rsid w:val="006B023A"/>
    <w:rsid w:val="006B16E7"/>
    <w:rsid w:val="006B48FF"/>
    <w:rsid w:val="006B729B"/>
    <w:rsid w:val="006C03CB"/>
    <w:rsid w:val="006C3DC5"/>
    <w:rsid w:val="006C5F52"/>
    <w:rsid w:val="006D350A"/>
    <w:rsid w:val="006D497F"/>
    <w:rsid w:val="006D7389"/>
    <w:rsid w:val="006D75D6"/>
    <w:rsid w:val="006E0202"/>
    <w:rsid w:val="006E349F"/>
    <w:rsid w:val="006E6ABC"/>
    <w:rsid w:val="006E6B8E"/>
    <w:rsid w:val="006E77DD"/>
    <w:rsid w:val="006F3E6F"/>
    <w:rsid w:val="006F6105"/>
    <w:rsid w:val="006F655F"/>
    <w:rsid w:val="00701C3D"/>
    <w:rsid w:val="00712F26"/>
    <w:rsid w:val="007147F1"/>
    <w:rsid w:val="007214F4"/>
    <w:rsid w:val="00723009"/>
    <w:rsid w:val="00723458"/>
    <w:rsid w:val="00725769"/>
    <w:rsid w:val="00725B0E"/>
    <w:rsid w:val="007303FB"/>
    <w:rsid w:val="00731263"/>
    <w:rsid w:val="00732C21"/>
    <w:rsid w:val="00735303"/>
    <w:rsid w:val="00735C8C"/>
    <w:rsid w:val="00737CE6"/>
    <w:rsid w:val="00740458"/>
    <w:rsid w:val="007415E8"/>
    <w:rsid w:val="0074343E"/>
    <w:rsid w:val="00756414"/>
    <w:rsid w:val="007626C3"/>
    <w:rsid w:val="007716F2"/>
    <w:rsid w:val="00772D11"/>
    <w:rsid w:val="0077545B"/>
    <w:rsid w:val="00776082"/>
    <w:rsid w:val="00781168"/>
    <w:rsid w:val="007811CB"/>
    <w:rsid w:val="00781278"/>
    <w:rsid w:val="0078139D"/>
    <w:rsid w:val="00786975"/>
    <w:rsid w:val="007922FD"/>
    <w:rsid w:val="0079248E"/>
    <w:rsid w:val="007935F9"/>
    <w:rsid w:val="00793DC3"/>
    <w:rsid w:val="00794F06"/>
    <w:rsid w:val="0079582C"/>
    <w:rsid w:val="0079676A"/>
    <w:rsid w:val="007A2E66"/>
    <w:rsid w:val="007A3D4E"/>
    <w:rsid w:val="007A480F"/>
    <w:rsid w:val="007A4AC0"/>
    <w:rsid w:val="007A5C35"/>
    <w:rsid w:val="007B16ED"/>
    <w:rsid w:val="007B1A84"/>
    <w:rsid w:val="007B3979"/>
    <w:rsid w:val="007B4655"/>
    <w:rsid w:val="007B47A8"/>
    <w:rsid w:val="007C0C80"/>
    <w:rsid w:val="007C33A9"/>
    <w:rsid w:val="007C4734"/>
    <w:rsid w:val="007C5FB3"/>
    <w:rsid w:val="007C7CE3"/>
    <w:rsid w:val="007D16CA"/>
    <w:rsid w:val="007D31BE"/>
    <w:rsid w:val="007D6E9A"/>
    <w:rsid w:val="007E1AFA"/>
    <w:rsid w:val="007E7DC3"/>
    <w:rsid w:val="007F06CA"/>
    <w:rsid w:val="007F2850"/>
    <w:rsid w:val="007F5B63"/>
    <w:rsid w:val="007F7FB2"/>
    <w:rsid w:val="008022B1"/>
    <w:rsid w:val="00802567"/>
    <w:rsid w:val="00803F8D"/>
    <w:rsid w:val="008043DB"/>
    <w:rsid w:val="008053A2"/>
    <w:rsid w:val="0080591B"/>
    <w:rsid w:val="00810ACF"/>
    <w:rsid w:val="00810CE1"/>
    <w:rsid w:val="00811857"/>
    <w:rsid w:val="00811906"/>
    <w:rsid w:val="00811F6F"/>
    <w:rsid w:val="00813C52"/>
    <w:rsid w:val="00816BF6"/>
    <w:rsid w:val="00833898"/>
    <w:rsid w:val="0083507C"/>
    <w:rsid w:val="00842599"/>
    <w:rsid w:val="00843840"/>
    <w:rsid w:val="008637C1"/>
    <w:rsid w:val="00866DC7"/>
    <w:rsid w:val="00872C78"/>
    <w:rsid w:val="00873CF8"/>
    <w:rsid w:val="00881751"/>
    <w:rsid w:val="008859A1"/>
    <w:rsid w:val="0088715C"/>
    <w:rsid w:val="008913A9"/>
    <w:rsid w:val="00893945"/>
    <w:rsid w:val="008976A3"/>
    <w:rsid w:val="008A23CD"/>
    <w:rsid w:val="008A6B07"/>
    <w:rsid w:val="008A6E4D"/>
    <w:rsid w:val="008B0017"/>
    <w:rsid w:val="008B3891"/>
    <w:rsid w:val="008B4EFD"/>
    <w:rsid w:val="008B6109"/>
    <w:rsid w:val="008C52CC"/>
    <w:rsid w:val="008C5608"/>
    <w:rsid w:val="008D3E56"/>
    <w:rsid w:val="008D4272"/>
    <w:rsid w:val="008E3652"/>
    <w:rsid w:val="008E38D7"/>
    <w:rsid w:val="008E6B1B"/>
    <w:rsid w:val="008F2198"/>
    <w:rsid w:val="008F2BC9"/>
    <w:rsid w:val="008F471B"/>
    <w:rsid w:val="00900209"/>
    <w:rsid w:val="009042FD"/>
    <w:rsid w:val="00905558"/>
    <w:rsid w:val="009133A2"/>
    <w:rsid w:val="0091347A"/>
    <w:rsid w:val="00915721"/>
    <w:rsid w:val="00915F7A"/>
    <w:rsid w:val="009206EA"/>
    <w:rsid w:val="009215EA"/>
    <w:rsid w:val="00925026"/>
    <w:rsid w:val="00926E2B"/>
    <w:rsid w:val="0093047D"/>
    <w:rsid w:val="00932E78"/>
    <w:rsid w:val="009337B6"/>
    <w:rsid w:val="009478B4"/>
    <w:rsid w:val="0095224D"/>
    <w:rsid w:val="00956F64"/>
    <w:rsid w:val="00957560"/>
    <w:rsid w:val="0096009B"/>
    <w:rsid w:val="00963099"/>
    <w:rsid w:val="0096474B"/>
    <w:rsid w:val="00970701"/>
    <w:rsid w:val="00970F51"/>
    <w:rsid w:val="00973D14"/>
    <w:rsid w:val="00975ADC"/>
    <w:rsid w:val="00976279"/>
    <w:rsid w:val="00976B3A"/>
    <w:rsid w:val="00980ECB"/>
    <w:rsid w:val="00982A1D"/>
    <w:rsid w:val="00985404"/>
    <w:rsid w:val="00987EAF"/>
    <w:rsid w:val="0099048E"/>
    <w:rsid w:val="009909AB"/>
    <w:rsid w:val="00992D44"/>
    <w:rsid w:val="00994457"/>
    <w:rsid w:val="009A0695"/>
    <w:rsid w:val="009A1108"/>
    <w:rsid w:val="009B3C74"/>
    <w:rsid w:val="009B4BDF"/>
    <w:rsid w:val="009C1CD1"/>
    <w:rsid w:val="009C47DB"/>
    <w:rsid w:val="009C54BF"/>
    <w:rsid w:val="009C721E"/>
    <w:rsid w:val="009C752E"/>
    <w:rsid w:val="009C7BB0"/>
    <w:rsid w:val="009D4D8E"/>
    <w:rsid w:val="009E0CC3"/>
    <w:rsid w:val="009E3EBD"/>
    <w:rsid w:val="009E42D9"/>
    <w:rsid w:val="009E5F2A"/>
    <w:rsid w:val="009E60D5"/>
    <w:rsid w:val="009F1266"/>
    <w:rsid w:val="009F4C41"/>
    <w:rsid w:val="00A04974"/>
    <w:rsid w:val="00A04CCC"/>
    <w:rsid w:val="00A0752F"/>
    <w:rsid w:val="00A10E8A"/>
    <w:rsid w:val="00A12CB2"/>
    <w:rsid w:val="00A14B74"/>
    <w:rsid w:val="00A16E67"/>
    <w:rsid w:val="00A17853"/>
    <w:rsid w:val="00A200EA"/>
    <w:rsid w:val="00A24B5C"/>
    <w:rsid w:val="00A25A64"/>
    <w:rsid w:val="00A274CF"/>
    <w:rsid w:val="00A30168"/>
    <w:rsid w:val="00A3197E"/>
    <w:rsid w:val="00A31BF9"/>
    <w:rsid w:val="00A34C28"/>
    <w:rsid w:val="00A37A48"/>
    <w:rsid w:val="00A51FB6"/>
    <w:rsid w:val="00A52E01"/>
    <w:rsid w:val="00A54D26"/>
    <w:rsid w:val="00A62685"/>
    <w:rsid w:val="00A670FB"/>
    <w:rsid w:val="00A711D8"/>
    <w:rsid w:val="00A770CC"/>
    <w:rsid w:val="00A81B34"/>
    <w:rsid w:val="00A83BD1"/>
    <w:rsid w:val="00A85ECC"/>
    <w:rsid w:val="00A911BD"/>
    <w:rsid w:val="00A9198F"/>
    <w:rsid w:val="00A924F4"/>
    <w:rsid w:val="00A92BF9"/>
    <w:rsid w:val="00AA0CFF"/>
    <w:rsid w:val="00AA4756"/>
    <w:rsid w:val="00AA5F6B"/>
    <w:rsid w:val="00AB13B7"/>
    <w:rsid w:val="00AB1994"/>
    <w:rsid w:val="00AB1E2B"/>
    <w:rsid w:val="00AB3344"/>
    <w:rsid w:val="00AB3801"/>
    <w:rsid w:val="00AB4D6E"/>
    <w:rsid w:val="00AB6104"/>
    <w:rsid w:val="00AB6C5C"/>
    <w:rsid w:val="00AB7D6A"/>
    <w:rsid w:val="00AC1DA9"/>
    <w:rsid w:val="00AC2BEB"/>
    <w:rsid w:val="00AC47CB"/>
    <w:rsid w:val="00AC5103"/>
    <w:rsid w:val="00AC6447"/>
    <w:rsid w:val="00AC6BC3"/>
    <w:rsid w:val="00AC7206"/>
    <w:rsid w:val="00AC7644"/>
    <w:rsid w:val="00AD02DB"/>
    <w:rsid w:val="00AD0E70"/>
    <w:rsid w:val="00AD1576"/>
    <w:rsid w:val="00AD28ED"/>
    <w:rsid w:val="00AD42C4"/>
    <w:rsid w:val="00AD4901"/>
    <w:rsid w:val="00AD7E1C"/>
    <w:rsid w:val="00AE0300"/>
    <w:rsid w:val="00AE0C4F"/>
    <w:rsid w:val="00AE12A3"/>
    <w:rsid w:val="00AE28B6"/>
    <w:rsid w:val="00AE4943"/>
    <w:rsid w:val="00AE5EA4"/>
    <w:rsid w:val="00AE73BC"/>
    <w:rsid w:val="00AE74C5"/>
    <w:rsid w:val="00AF253A"/>
    <w:rsid w:val="00AF2C80"/>
    <w:rsid w:val="00AF589F"/>
    <w:rsid w:val="00AF6A98"/>
    <w:rsid w:val="00B0583A"/>
    <w:rsid w:val="00B07C17"/>
    <w:rsid w:val="00B16297"/>
    <w:rsid w:val="00B17423"/>
    <w:rsid w:val="00B216DB"/>
    <w:rsid w:val="00B21FCF"/>
    <w:rsid w:val="00B22D32"/>
    <w:rsid w:val="00B277C2"/>
    <w:rsid w:val="00B326B0"/>
    <w:rsid w:val="00B345DE"/>
    <w:rsid w:val="00B35A7E"/>
    <w:rsid w:val="00B400BD"/>
    <w:rsid w:val="00B42A02"/>
    <w:rsid w:val="00B42BF0"/>
    <w:rsid w:val="00B45913"/>
    <w:rsid w:val="00B4739E"/>
    <w:rsid w:val="00B47A29"/>
    <w:rsid w:val="00B50F96"/>
    <w:rsid w:val="00B5759C"/>
    <w:rsid w:val="00B57638"/>
    <w:rsid w:val="00B61B23"/>
    <w:rsid w:val="00B626D7"/>
    <w:rsid w:val="00B6285F"/>
    <w:rsid w:val="00B62897"/>
    <w:rsid w:val="00B65FA7"/>
    <w:rsid w:val="00B701A9"/>
    <w:rsid w:val="00B72C00"/>
    <w:rsid w:val="00B72E45"/>
    <w:rsid w:val="00B74DFA"/>
    <w:rsid w:val="00B76771"/>
    <w:rsid w:val="00B849EE"/>
    <w:rsid w:val="00B902CF"/>
    <w:rsid w:val="00B93254"/>
    <w:rsid w:val="00B97D6F"/>
    <w:rsid w:val="00BA5834"/>
    <w:rsid w:val="00BA602C"/>
    <w:rsid w:val="00BB3039"/>
    <w:rsid w:val="00BB6926"/>
    <w:rsid w:val="00BB6BB8"/>
    <w:rsid w:val="00BB7F97"/>
    <w:rsid w:val="00BC11BA"/>
    <w:rsid w:val="00BC16AF"/>
    <w:rsid w:val="00BC1732"/>
    <w:rsid w:val="00BC5416"/>
    <w:rsid w:val="00BC5E8F"/>
    <w:rsid w:val="00BD1C57"/>
    <w:rsid w:val="00BD5C94"/>
    <w:rsid w:val="00BE4B00"/>
    <w:rsid w:val="00BF5C7D"/>
    <w:rsid w:val="00BF7CA4"/>
    <w:rsid w:val="00C0293A"/>
    <w:rsid w:val="00C0304A"/>
    <w:rsid w:val="00C12269"/>
    <w:rsid w:val="00C1375F"/>
    <w:rsid w:val="00C15B56"/>
    <w:rsid w:val="00C20B56"/>
    <w:rsid w:val="00C2252C"/>
    <w:rsid w:val="00C2262F"/>
    <w:rsid w:val="00C22F80"/>
    <w:rsid w:val="00C269AE"/>
    <w:rsid w:val="00C31117"/>
    <w:rsid w:val="00C32634"/>
    <w:rsid w:val="00C32905"/>
    <w:rsid w:val="00C32B96"/>
    <w:rsid w:val="00C41566"/>
    <w:rsid w:val="00C44982"/>
    <w:rsid w:val="00C44D1E"/>
    <w:rsid w:val="00C44F01"/>
    <w:rsid w:val="00C4796C"/>
    <w:rsid w:val="00C50639"/>
    <w:rsid w:val="00C51767"/>
    <w:rsid w:val="00C55772"/>
    <w:rsid w:val="00C558A9"/>
    <w:rsid w:val="00C56A30"/>
    <w:rsid w:val="00C57B0A"/>
    <w:rsid w:val="00C6146C"/>
    <w:rsid w:val="00C6332B"/>
    <w:rsid w:val="00C65739"/>
    <w:rsid w:val="00C65D40"/>
    <w:rsid w:val="00C662F3"/>
    <w:rsid w:val="00C73ED8"/>
    <w:rsid w:val="00C80A56"/>
    <w:rsid w:val="00C82F48"/>
    <w:rsid w:val="00C83205"/>
    <w:rsid w:val="00C83BE6"/>
    <w:rsid w:val="00C929C8"/>
    <w:rsid w:val="00C9309B"/>
    <w:rsid w:val="00C94ABB"/>
    <w:rsid w:val="00C95417"/>
    <w:rsid w:val="00CA299D"/>
    <w:rsid w:val="00CA2D37"/>
    <w:rsid w:val="00CA3E96"/>
    <w:rsid w:val="00CA5468"/>
    <w:rsid w:val="00CA655F"/>
    <w:rsid w:val="00CA740E"/>
    <w:rsid w:val="00CB1CEC"/>
    <w:rsid w:val="00CB39B9"/>
    <w:rsid w:val="00CB4256"/>
    <w:rsid w:val="00CB4450"/>
    <w:rsid w:val="00CC02BC"/>
    <w:rsid w:val="00CC08B3"/>
    <w:rsid w:val="00CC2455"/>
    <w:rsid w:val="00CC27D9"/>
    <w:rsid w:val="00CC53A5"/>
    <w:rsid w:val="00CC5CB6"/>
    <w:rsid w:val="00CD7442"/>
    <w:rsid w:val="00CE051B"/>
    <w:rsid w:val="00CE06A5"/>
    <w:rsid w:val="00CE36C7"/>
    <w:rsid w:val="00CE3A44"/>
    <w:rsid w:val="00CE3AC7"/>
    <w:rsid w:val="00CF3334"/>
    <w:rsid w:val="00CF344F"/>
    <w:rsid w:val="00D03720"/>
    <w:rsid w:val="00D04581"/>
    <w:rsid w:val="00D04D6D"/>
    <w:rsid w:val="00D0510A"/>
    <w:rsid w:val="00D055EC"/>
    <w:rsid w:val="00D0711A"/>
    <w:rsid w:val="00D13436"/>
    <w:rsid w:val="00D136C5"/>
    <w:rsid w:val="00D154BE"/>
    <w:rsid w:val="00D1770E"/>
    <w:rsid w:val="00D200F7"/>
    <w:rsid w:val="00D20AF4"/>
    <w:rsid w:val="00D22516"/>
    <w:rsid w:val="00D22757"/>
    <w:rsid w:val="00D227C4"/>
    <w:rsid w:val="00D240AD"/>
    <w:rsid w:val="00D25D34"/>
    <w:rsid w:val="00D322DA"/>
    <w:rsid w:val="00D325BD"/>
    <w:rsid w:val="00D325ED"/>
    <w:rsid w:val="00D404ED"/>
    <w:rsid w:val="00D41EB5"/>
    <w:rsid w:val="00D460A3"/>
    <w:rsid w:val="00D4624A"/>
    <w:rsid w:val="00D46E2F"/>
    <w:rsid w:val="00D46EFD"/>
    <w:rsid w:val="00D50A99"/>
    <w:rsid w:val="00D51261"/>
    <w:rsid w:val="00D54C5B"/>
    <w:rsid w:val="00D626D4"/>
    <w:rsid w:val="00D629D6"/>
    <w:rsid w:val="00D677EF"/>
    <w:rsid w:val="00D71401"/>
    <w:rsid w:val="00D748D3"/>
    <w:rsid w:val="00D752A7"/>
    <w:rsid w:val="00D85498"/>
    <w:rsid w:val="00D91D5D"/>
    <w:rsid w:val="00D94661"/>
    <w:rsid w:val="00DA1718"/>
    <w:rsid w:val="00DA1F12"/>
    <w:rsid w:val="00DA2F4F"/>
    <w:rsid w:val="00DA4DF3"/>
    <w:rsid w:val="00DA78CF"/>
    <w:rsid w:val="00DB28CD"/>
    <w:rsid w:val="00DB378D"/>
    <w:rsid w:val="00DB4299"/>
    <w:rsid w:val="00DB450B"/>
    <w:rsid w:val="00DC5479"/>
    <w:rsid w:val="00DC64E8"/>
    <w:rsid w:val="00DD075D"/>
    <w:rsid w:val="00DD230F"/>
    <w:rsid w:val="00DD2C9D"/>
    <w:rsid w:val="00DD5440"/>
    <w:rsid w:val="00DD644F"/>
    <w:rsid w:val="00DD7E3C"/>
    <w:rsid w:val="00DF12D0"/>
    <w:rsid w:val="00DF3647"/>
    <w:rsid w:val="00DF3AD2"/>
    <w:rsid w:val="00DF440A"/>
    <w:rsid w:val="00DF77EA"/>
    <w:rsid w:val="00E011E4"/>
    <w:rsid w:val="00E05FFB"/>
    <w:rsid w:val="00E10430"/>
    <w:rsid w:val="00E1150D"/>
    <w:rsid w:val="00E116D8"/>
    <w:rsid w:val="00E11D83"/>
    <w:rsid w:val="00E1334E"/>
    <w:rsid w:val="00E136C7"/>
    <w:rsid w:val="00E13FEA"/>
    <w:rsid w:val="00E15128"/>
    <w:rsid w:val="00E15B6E"/>
    <w:rsid w:val="00E24C87"/>
    <w:rsid w:val="00E27B52"/>
    <w:rsid w:val="00E309F3"/>
    <w:rsid w:val="00E32708"/>
    <w:rsid w:val="00E3623C"/>
    <w:rsid w:val="00E37828"/>
    <w:rsid w:val="00E42847"/>
    <w:rsid w:val="00E4430C"/>
    <w:rsid w:val="00E45EA9"/>
    <w:rsid w:val="00E60878"/>
    <w:rsid w:val="00E617A8"/>
    <w:rsid w:val="00E622A9"/>
    <w:rsid w:val="00E64A6D"/>
    <w:rsid w:val="00E66834"/>
    <w:rsid w:val="00E74945"/>
    <w:rsid w:val="00E87BBE"/>
    <w:rsid w:val="00E9097D"/>
    <w:rsid w:val="00E933DF"/>
    <w:rsid w:val="00EA1039"/>
    <w:rsid w:val="00EA16C6"/>
    <w:rsid w:val="00EA2266"/>
    <w:rsid w:val="00EA3C5D"/>
    <w:rsid w:val="00EA5418"/>
    <w:rsid w:val="00EB0CAB"/>
    <w:rsid w:val="00EB1F1F"/>
    <w:rsid w:val="00EC185F"/>
    <w:rsid w:val="00EC2C3C"/>
    <w:rsid w:val="00EC3D96"/>
    <w:rsid w:val="00EC4315"/>
    <w:rsid w:val="00EC561A"/>
    <w:rsid w:val="00EC581E"/>
    <w:rsid w:val="00ED0862"/>
    <w:rsid w:val="00ED08C8"/>
    <w:rsid w:val="00ED0DB2"/>
    <w:rsid w:val="00ED7303"/>
    <w:rsid w:val="00ED7A80"/>
    <w:rsid w:val="00ED7B94"/>
    <w:rsid w:val="00EE10DE"/>
    <w:rsid w:val="00EE14F0"/>
    <w:rsid w:val="00EE1674"/>
    <w:rsid w:val="00EE393F"/>
    <w:rsid w:val="00F00B08"/>
    <w:rsid w:val="00F04A31"/>
    <w:rsid w:val="00F04AA3"/>
    <w:rsid w:val="00F076A3"/>
    <w:rsid w:val="00F077A8"/>
    <w:rsid w:val="00F07FAF"/>
    <w:rsid w:val="00F16C29"/>
    <w:rsid w:val="00F173FF"/>
    <w:rsid w:val="00F17883"/>
    <w:rsid w:val="00F22101"/>
    <w:rsid w:val="00F2569F"/>
    <w:rsid w:val="00F345F1"/>
    <w:rsid w:val="00F37607"/>
    <w:rsid w:val="00F3761E"/>
    <w:rsid w:val="00F403C5"/>
    <w:rsid w:val="00F428F5"/>
    <w:rsid w:val="00F545E2"/>
    <w:rsid w:val="00F56F09"/>
    <w:rsid w:val="00F57E19"/>
    <w:rsid w:val="00F65B80"/>
    <w:rsid w:val="00F664E4"/>
    <w:rsid w:val="00F735CC"/>
    <w:rsid w:val="00F73FC9"/>
    <w:rsid w:val="00F743A5"/>
    <w:rsid w:val="00F75E8F"/>
    <w:rsid w:val="00F82662"/>
    <w:rsid w:val="00F843F2"/>
    <w:rsid w:val="00F9018A"/>
    <w:rsid w:val="00F92B59"/>
    <w:rsid w:val="00F93F0E"/>
    <w:rsid w:val="00F94A6A"/>
    <w:rsid w:val="00F96944"/>
    <w:rsid w:val="00F97342"/>
    <w:rsid w:val="00FA191C"/>
    <w:rsid w:val="00FA5F75"/>
    <w:rsid w:val="00FB63B3"/>
    <w:rsid w:val="00FB776C"/>
    <w:rsid w:val="00FC2D71"/>
    <w:rsid w:val="00FC30C2"/>
    <w:rsid w:val="00FC38BC"/>
    <w:rsid w:val="00FC43EB"/>
    <w:rsid w:val="00FC4656"/>
    <w:rsid w:val="00FC71AA"/>
    <w:rsid w:val="00FD1A27"/>
    <w:rsid w:val="00FD1FBE"/>
    <w:rsid w:val="00FD63EF"/>
    <w:rsid w:val="00FD73DF"/>
    <w:rsid w:val="00FD741E"/>
    <w:rsid w:val="00FE3BF4"/>
    <w:rsid w:val="00FE4B20"/>
    <w:rsid w:val="00FE671F"/>
    <w:rsid w:val="00FF1EF6"/>
    <w:rsid w:val="00FF3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25C04CC-338E-4915-B7EF-982D320C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77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hAnsi="Arial" w:cs="Arial"/>
      <w:sz w:val="18"/>
      <w:szCs w:val="20"/>
    </w:rPr>
  </w:style>
  <w:style w:type="paragraph" w:customStyle="1" w:styleId="ROMANOS">
    <w:name w:val="ROMANOS"/>
    <w:basedOn w:val="Normal"/>
    <w:rsid w:val="00540418"/>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540418"/>
    <w:pPr>
      <w:spacing w:after="101" w:line="216" w:lineRule="exact"/>
      <w:ind w:left="1080" w:hanging="360"/>
      <w:jc w:val="both"/>
    </w:pPr>
    <w:rPr>
      <w:rFonts w:ascii="Arial" w:hAnsi="Arial" w:cs="Arial"/>
      <w:sz w:val="18"/>
      <w:szCs w:val="18"/>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link w:val="PrrafodelistaCar"/>
    <w:uiPriority w:val="34"/>
    <w:qFormat/>
    <w:rsid w:val="0079582C"/>
    <w:pPr>
      <w:ind w:left="720"/>
      <w:contextualSpacing/>
    </w:pPr>
  </w:style>
  <w:style w:type="paragraph" w:styleId="Textoindependiente">
    <w:name w:val="Body Text"/>
    <w:basedOn w:val="Normal"/>
    <w:link w:val="TextoindependienteCar"/>
    <w:uiPriority w:val="99"/>
    <w:unhideWhenUsed/>
    <w:rsid w:val="00661772"/>
    <w:pPr>
      <w:spacing w:after="120"/>
    </w:pPr>
  </w:style>
  <w:style w:type="character" w:customStyle="1" w:styleId="TextoindependienteCar">
    <w:name w:val="Texto independiente Car"/>
    <w:basedOn w:val="Fuentedeprrafopredeter"/>
    <w:link w:val="Textoindependiente"/>
    <w:uiPriority w:val="99"/>
    <w:rsid w:val="0066177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61772"/>
  </w:style>
  <w:style w:type="paragraph" w:customStyle="1" w:styleId="Default">
    <w:name w:val="Default"/>
    <w:rsid w:val="00620E8D"/>
    <w:pPr>
      <w:autoSpaceDE w:val="0"/>
      <w:autoSpaceDN w:val="0"/>
      <w:adjustRightInd w:val="0"/>
      <w:spacing w:after="0" w:line="240" w:lineRule="auto"/>
    </w:pPr>
    <w:rPr>
      <w:rFonts w:ascii="Arial" w:eastAsia="Calibri" w:hAnsi="Arial" w:cs="Arial"/>
      <w:color w:val="000000"/>
      <w:sz w:val="24"/>
      <w:szCs w:val="24"/>
      <w:lang w:eastAsia="es-MX"/>
    </w:rPr>
  </w:style>
  <w:style w:type="paragraph" w:styleId="Ttulo">
    <w:name w:val="Title"/>
    <w:basedOn w:val="Normal"/>
    <w:link w:val="TtuloCar"/>
    <w:uiPriority w:val="99"/>
    <w:qFormat/>
    <w:rsid w:val="00184B82"/>
    <w:pPr>
      <w:jc w:val="center"/>
    </w:pPr>
    <w:rPr>
      <w:rFonts w:ascii="Helvetica" w:hAnsi="Helvetica"/>
      <w:b/>
      <w:bCs/>
      <w:sz w:val="28"/>
    </w:rPr>
  </w:style>
  <w:style w:type="character" w:customStyle="1" w:styleId="TtuloCar">
    <w:name w:val="Título Car"/>
    <w:basedOn w:val="Fuentedeprrafopredeter"/>
    <w:link w:val="Ttulo"/>
    <w:uiPriority w:val="99"/>
    <w:rsid w:val="00184B82"/>
    <w:rPr>
      <w:rFonts w:ascii="Helvetica" w:eastAsia="Times New Roman" w:hAnsi="Helvetica" w:cs="Times New Roman"/>
      <w:b/>
      <w:bCs/>
      <w:sz w:val="28"/>
      <w:szCs w:val="24"/>
      <w:lang w:val="es-ES" w:eastAsia="es-ES"/>
    </w:rPr>
  </w:style>
  <w:style w:type="character" w:styleId="Hipervnculo">
    <w:name w:val="Hyperlink"/>
    <w:basedOn w:val="Fuentedeprrafopredeter"/>
    <w:uiPriority w:val="99"/>
    <w:unhideWhenUsed/>
    <w:rsid w:val="001101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7189">
      <w:bodyDiv w:val="1"/>
      <w:marLeft w:val="0"/>
      <w:marRight w:val="0"/>
      <w:marTop w:val="0"/>
      <w:marBottom w:val="0"/>
      <w:divBdr>
        <w:top w:val="none" w:sz="0" w:space="0" w:color="auto"/>
        <w:left w:val="none" w:sz="0" w:space="0" w:color="auto"/>
        <w:bottom w:val="none" w:sz="0" w:space="0" w:color="auto"/>
        <w:right w:val="none" w:sz="0" w:space="0" w:color="auto"/>
      </w:divBdr>
    </w:div>
    <w:div w:id="262079809">
      <w:bodyDiv w:val="1"/>
      <w:marLeft w:val="0"/>
      <w:marRight w:val="0"/>
      <w:marTop w:val="0"/>
      <w:marBottom w:val="0"/>
      <w:divBdr>
        <w:top w:val="none" w:sz="0" w:space="0" w:color="auto"/>
        <w:left w:val="none" w:sz="0" w:space="0" w:color="auto"/>
        <w:bottom w:val="none" w:sz="0" w:space="0" w:color="auto"/>
        <w:right w:val="none" w:sz="0" w:space="0" w:color="auto"/>
      </w:divBdr>
    </w:div>
    <w:div w:id="388383404">
      <w:bodyDiv w:val="1"/>
      <w:marLeft w:val="0"/>
      <w:marRight w:val="0"/>
      <w:marTop w:val="0"/>
      <w:marBottom w:val="0"/>
      <w:divBdr>
        <w:top w:val="none" w:sz="0" w:space="0" w:color="auto"/>
        <w:left w:val="none" w:sz="0" w:space="0" w:color="auto"/>
        <w:bottom w:val="none" w:sz="0" w:space="0" w:color="auto"/>
        <w:right w:val="none" w:sz="0" w:space="0" w:color="auto"/>
      </w:divBdr>
    </w:div>
    <w:div w:id="403337876">
      <w:bodyDiv w:val="1"/>
      <w:marLeft w:val="0"/>
      <w:marRight w:val="0"/>
      <w:marTop w:val="0"/>
      <w:marBottom w:val="0"/>
      <w:divBdr>
        <w:top w:val="none" w:sz="0" w:space="0" w:color="auto"/>
        <w:left w:val="none" w:sz="0" w:space="0" w:color="auto"/>
        <w:bottom w:val="none" w:sz="0" w:space="0" w:color="auto"/>
        <w:right w:val="none" w:sz="0" w:space="0" w:color="auto"/>
      </w:divBdr>
    </w:div>
    <w:div w:id="552734080">
      <w:bodyDiv w:val="1"/>
      <w:marLeft w:val="0"/>
      <w:marRight w:val="0"/>
      <w:marTop w:val="0"/>
      <w:marBottom w:val="0"/>
      <w:divBdr>
        <w:top w:val="none" w:sz="0" w:space="0" w:color="auto"/>
        <w:left w:val="none" w:sz="0" w:space="0" w:color="auto"/>
        <w:bottom w:val="none" w:sz="0" w:space="0" w:color="auto"/>
        <w:right w:val="none" w:sz="0" w:space="0" w:color="auto"/>
      </w:divBdr>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50839353">
      <w:bodyDiv w:val="1"/>
      <w:marLeft w:val="0"/>
      <w:marRight w:val="0"/>
      <w:marTop w:val="0"/>
      <w:marBottom w:val="0"/>
      <w:divBdr>
        <w:top w:val="none" w:sz="0" w:space="0" w:color="auto"/>
        <w:left w:val="none" w:sz="0" w:space="0" w:color="auto"/>
        <w:bottom w:val="none" w:sz="0" w:space="0" w:color="auto"/>
        <w:right w:val="none" w:sz="0" w:space="0" w:color="auto"/>
      </w:divBdr>
    </w:div>
    <w:div w:id="679744444">
      <w:bodyDiv w:val="1"/>
      <w:marLeft w:val="0"/>
      <w:marRight w:val="0"/>
      <w:marTop w:val="0"/>
      <w:marBottom w:val="0"/>
      <w:divBdr>
        <w:top w:val="none" w:sz="0" w:space="0" w:color="auto"/>
        <w:left w:val="none" w:sz="0" w:space="0" w:color="auto"/>
        <w:bottom w:val="none" w:sz="0" w:space="0" w:color="auto"/>
        <w:right w:val="none" w:sz="0" w:space="0" w:color="auto"/>
      </w:divBdr>
    </w:div>
    <w:div w:id="760679914">
      <w:bodyDiv w:val="1"/>
      <w:marLeft w:val="0"/>
      <w:marRight w:val="0"/>
      <w:marTop w:val="0"/>
      <w:marBottom w:val="0"/>
      <w:divBdr>
        <w:top w:val="none" w:sz="0" w:space="0" w:color="auto"/>
        <w:left w:val="none" w:sz="0" w:space="0" w:color="auto"/>
        <w:bottom w:val="none" w:sz="0" w:space="0" w:color="auto"/>
        <w:right w:val="none" w:sz="0" w:space="0" w:color="auto"/>
      </w:divBdr>
    </w:div>
    <w:div w:id="772434612">
      <w:bodyDiv w:val="1"/>
      <w:marLeft w:val="0"/>
      <w:marRight w:val="0"/>
      <w:marTop w:val="0"/>
      <w:marBottom w:val="0"/>
      <w:divBdr>
        <w:top w:val="none" w:sz="0" w:space="0" w:color="auto"/>
        <w:left w:val="none" w:sz="0" w:space="0" w:color="auto"/>
        <w:bottom w:val="none" w:sz="0" w:space="0" w:color="auto"/>
        <w:right w:val="none" w:sz="0" w:space="0" w:color="auto"/>
      </w:divBdr>
    </w:div>
    <w:div w:id="1125729626">
      <w:bodyDiv w:val="1"/>
      <w:marLeft w:val="0"/>
      <w:marRight w:val="0"/>
      <w:marTop w:val="0"/>
      <w:marBottom w:val="0"/>
      <w:divBdr>
        <w:top w:val="none" w:sz="0" w:space="0" w:color="auto"/>
        <w:left w:val="none" w:sz="0" w:space="0" w:color="auto"/>
        <w:bottom w:val="none" w:sz="0" w:space="0" w:color="auto"/>
        <w:right w:val="none" w:sz="0" w:space="0" w:color="auto"/>
      </w:divBdr>
    </w:div>
    <w:div w:id="1295911948">
      <w:bodyDiv w:val="1"/>
      <w:marLeft w:val="0"/>
      <w:marRight w:val="0"/>
      <w:marTop w:val="0"/>
      <w:marBottom w:val="0"/>
      <w:divBdr>
        <w:top w:val="none" w:sz="0" w:space="0" w:color="auto"/>
        <w:left w:val="none" w:sz="0" w:space="0" w:color="auto"/>
        <w:bottom w:val="none" w:sz="0" w:space="0" w:color="auto"/>
        <w:right w:val="none" w:sz="0" w:space="0" w:color="auto"/>
      </w:divBdr>
    </w:div>
    <w:div w:id="202089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78D9F-B9E9-433F-BD30-96A11C49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5176</Words>
  <Characters>28474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Usuario</cp:lastModifiedBy>
  <cp:revision>3</cp:revision>
  <cp:lastPrinted>2026-04-29T21:23:00Z</cp:lastPrinted>
  <dcterms:created xsi:type="dcterms:W3CDTF">2026-04-24T20:14:00Z</dcterms:created>
  <dcterms:modified xsi:type="dcterms:W3CDTF">2026-04-29T21:23:00Z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