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C168D" w14:textId="0ECA055A" w:rsidR="00786CFE" w:rsidRDefault="00786CFE" w:rsidP="00705318">
      <w:pPr>
        <w:jc w:val="right"/>
        <w:rPr>
          <w:rFonts w:ascii="Arial" w:hAnsi="Arial" w:cs="Arial"/>
          <w:sz w:val="20"/>
          <w:szCs w:val="20"/>
        </w:rPr>
      </w:pPr>
      <w:bookmarkStart w:id="0" w:name="_GoBack"/>
      <w:bookmarkEnd w:id="0"/>
    </w:p>
    <w:p w14:paraId="773C1759" w14:textId="5758A060" w:rsidR="00786CFE" w:rsidRDefault="00786CFE" w:rsidP="00705318">
      <w:pPr>
        <w:jc w:val="right"/>
        <w:rPr>
          <w:rFonts w:ascii="Arial" w:hAnsi="Arial" w:cs="Arial"/>
          <w:sz w:val="20"/>
          <w:szCs w:val="20"/>
        </w:rPr>
      </w:pPr>
    </w:p>
    <w:p w14:paraId="730A3AEB"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NOTAS DE GESTIÓN ADMINISTRATIVA</w:t>
      </w:r>
    </w:p>
    <w:p w14:paraId="6A83357E"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 xml:space="preserve">Los Estados Financieros de los entes públicos, proveen de información financiera a los principales usuarios de la misma, al Congreso y a los ciudadanos. 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De esta manera, se informa y explica la respuesta del gobierno a las condiciones relacionadas con la información financiera de cada período de gestión; además, de exponer aquellas políticas que podrían afectar la toma de decisiones en períodos posteriores. </w:t>
      </w:r>
    </w:p>
    <w:p w14:paraId="46A800CF"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 xml:space="preserve"> </w:t>
      </w:r>
      <w:r w:rsidRPr="00721F0B">
        <w:rPr>
          <w:rFonts w:asciiTheme="minorHAnsi" w:eastAsiaTheme="minorHAnsi" w:hAnsiTheme="minorHAnsi" w:cstheme="minorBidi"/>
          <w:b/>
          <w:sz w:val="20"/>
          <w:szCs w:val="22"/>
          <w:lang w:val="es-MX" w:eastAsia="en-US"/>
        </w:rPr>
        <w:t>Las notas de gestión administrativa deben contener los siguientes puntos</w:t>
      </w:r>
      <w:r w:rsidRPr="00721F0B">
        <w:rPr>
          <w:rFonts w:asciiTheme="minorHAnsi" w:eastAsiaTheme="minorHAnsi" w:hAnsiTheme="minorHAnsi" w:cstheme="minorBidi"/>
          <w:sz w:val="22"/>
          <w:szCs w:val="22"/>
          <w:lang w:val="es-MX" w:eastAsia="en-US"/>
        </w:rPr>
        <w:t>:</w:t>
      </w:r>
    </w:p>
    <w:p w14:paraId="3633DD77"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7EC3F704" w14:textId="77777777" w:rsidR="00721F0B" w:rsidRPr="00721F0B" w:rsidRDefault="00721F0B" w:rsidP="00721F0B">
      <w:pPr>
        <w:spacing w:after="200" w:line="276" w:lineRule="auto"/>
        <w:jc w:val="center"/>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b/>
          <w:sz w:val="22"/>
          <w:szCs w:val="22"/>
          <w:lang w:val="es-MX" w:eastAsia="en-US"/>
        </w:rPr>
        <w:t>Introducción</w:t>
      </w:r>
    </w:p>
    <w:p w14:paraId="3EE85E06" w14:textId="3E4B2EC6"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RÉGIMEN DE PROTECCIÓN SOCIAL EN SALUD DEL ESTADO DE GUANAJUATO (REPSSEG) es un organismo público descentralizado con personalidad jurídica propia.</w:t>
      </w:r>
    </w:p>
    <w:p w14:paraId="736BD289" w14:textId="572840CF"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 xml:space="preserve">El RÉGIMEN DE PROTECCIÓN SOCIAL EN SALUD DEL ESTADO DE GUANAJUATO es un promotor de la salud que suma esfuerzos para poder ofrecerles a los guanajuatenses que no cuentan con seguridad social en salud alternativas viables que les permitan acceder a servicios médicos de calidad. </w:t>
      </w:r>
    </w:p>
    <w:p w14:paraId="0A78C11E" w14:textId="77777777" w:rsidR="00721F0B" w:rsidRPr="00721F0B" w:rsidRDefault="00721F0B" w:rsidP="00721F0B">
      <w:pPr>
        <w:rPr>
          <w:sz w:val="20"/>
          <w:lang w:val="es-MX" w:eastAsia="es-MX"/>
        </w:rPr>
      </w:pPr>
      <w:r w:rsidRPr="00721F0B">
        <w:rPr>
          <w:rFonts w:ascii="Calibri" w:hAnsi="Calibri"/>
          <w:b/>
          <w:bCs/>
          <w:color w:val="000000"/>
          <w:sz w:val="22"/>
          <w:szCs w:val="27"/>
          <w:lang w:val="es-MX" w:eastAsia="es-MX"/>
        </w:rPr>
        <w:t>Misión</w:t>
      </w:r>
    </w:p>
    <w:p w14:paraId="55954C60" w14:textId="77777777" w:rsidR="00721F0B" w:rsidRPr="00721F0B" w:rsidRDefault="00721F0B" w:rsidP="00721F0B">
      <w:pPr>
        <w:spacing w:before="100" w:beforeAutospacing="1" w:after="100" w:afterAutospacing="1"/>
        <w:jc w:val="both"/>
        <w:rPr>
          <w:rFonts w:ascii="Calibri" w:hAnsi="Calibri"/>
          <w:color w:val="000000"/>
          <w:sz w:val="22"/>
          <w:szCs w:val="21"/>
          <w:lang w:val="es-MX" w:eastAsia="es-MX"/>
        </w:rPr>
      </w:pPr>
      <w:r w:rsidRPr="00721F0B">
        <w:rPr>
          <w:rFonts w:ascii="Calibri" w:hAnsi="Calibri"/>
          <w:color w:val="000000"/>
          <w:sz w:val="22"/>
          <w:szCs w:val="21"/>
          <w:lang w:val="es-MX" w:eastAsia="es-MX"/>
        </w:rPr>
        <w:t>Somos un Régimen de Protección Social en Salud del Estado de Guanajuato, que otorga protección financiera a la población del estado de Guanajuato sin algún tipo de seguridad social en salud, mediante la afiliación voluntaria, tutela de sus derechos, planeación y administración correcta de los recursos, asegurando el acceso efectivo a los servicios de salud con calidad, calidez y sin gasto de bolsillo al afiliado, conforme a las carteras vigentes.</w:t>
      </w:r>
    </w:p>
    <w:p w14:paraId="104E405E" w14:textId="7FBC715F" w:rsidR="00721F0B" w:rsidRPr="00721F0B" w:rsidRDefault="00721F0B" w:rsidP="00721F0B">
      <w:pPr>
        <w:tabs>
          <w:tab w:val="left" w:pos="1455"/>
        </w:tabs>
        <w:rPr>
          <w:lang w:val="es-MX" w:eastAsia="es-MX"/>
        </w:rPr>
      </w:pPr>
      <w:r>
        <w:rPr>
          <w:rFonts w:ascii="Calibri" w:hAnsi="Calibri"/>
          <w:color w:val="000000"/>
          <w:sz w:val="22"/>
          <w:szCs w:val="21"/>
          <w:lang w:val="es-MX" w:eastAsia="es-MX"/>
        </w:rPr>
        <w:tab/>
      </w:r>
      <w:r w:rsidRPr="00721F0B">
        <w:rPr>
          <w:rFonts w:ascii="Calibri" w:hAnsi="Calibri"/>
          <w:color w:val="000000"/>
          <w:sz w:val="27"/>
          <w:szCs w:val="27"/>
          <w:lang w:val="es-MX" w:eastAsia="es-MX"/>
        </w:rPr>
        <w:br/>
      </w:r>
      <w:r w:rsidRPr="00721F0B">
        <w:rPr>
          <w:rFonts w:ascii="Calibri" w:hAnsi="Calibri"/>
          <w:b/>
          <w:bCs/>
          <w:color w:val="000000"/>
          <w:sz w:val="22"/>
          <w:szCs w:val="27"/>
          <w:lang w:val="es-MX" w:eastAsia="es-MX"/>
        </w:rPr>
        <w:t>Visión</w:t>
      </w:r>
    </w:p>
    <w:p w14:paraId="25081551" w14:textId="77777777" w:rsidR="00721F0B" w:rsidRPr="00721F0B" w:rsidRDefault="00721F0B" w:rsidP="00721F0B">
      <w:pPr>
        <w:spacing w:before="100" w:beforeAutospacing="1" w:after="100" w:afterAutospacing="1"/>
        <w:jc w:val="both"/>
        <w:rPr>
          <w:rFonts w:ascii="Calibri" w:hAnsi="Calibri"/>
          <w:color w:val="000000"/>
          <w:sz w:val="22"/>
          <w:szCs w:val="21"/>
          <w:lang w:val="es-MX" w:eastAsia="es-MX"/>
        </w:rPr>
      </w:pPr>
      <w:r w:rsidRPr="00721F0B">
        <w:rPr>
          <w:rFonts w:ascii="Calibri" w:hAnsi="Calibri"/>
          <w:color w:val="000000"/>
          <w:sz w:val="22"/>
          <w:szCs w:val="21"/>
          <w:lang w:val="es-MX" w:eastAsia="es-MX"/>
        </w:rPr>
        <w:t>Ser un organismo rector y líder en materia de protección social en salud, con mecanismos financieros, operativos y tecnológicos sustentables, innovadores y transparentes, garantizando el acceso universal a los servicios de salud.</w:t>
      </w:r>
    </w:p>
    <w:p w14:paraId="42267C9F" w14:textId="77777777" w:rsidR="00721F0B" w:rsidRPr="00721F0B" w:rsidRDefault="00721F0B" w:rsidP="00721F0B">
      <w:pPr>
        <w:rPr>
          <w:rFonts w:ascii="Calibri" w:hAnsi="Calibri"/>
          <w:b/>
          <w:bCs/>
          <w:color w:val="000000"/>
          <w:sz w:val="22"/>
          <w:szCs w:val="27"/>
          <w:lang w:val="es-MX" w:eastAsia="es-MX"/>
        </w:rPr>
      </w:pPr>
    </w:p>
    <w:p w14:paraId="5987C271" w14:textId="77777777" w:rsidR="00721F0B" w:rsidRPr="00721F0B" w:rsidRDefault="00721F0B" w:rsidP="00721F0B">
      <w:pPr>
        <w:rPr>
          <w:rFonts w:ascii="Calibri" w:hAnsi="Calibri"/>
          <w:color w:val="000000"/>
          <w:sz w:val="27"/>
          <w:szCs w:val="27"/>
          <w:lang w:val="es-MX" w:eastAsia="es-MX"/>
        </w:rPr>
      </w:pPr>
      <w:r w:rsidRPr="00721F0B">
        <w:rPr>
          <w:rFonts w:ascii="Calibri" w:hAnsi="Calibri"/>
          <w:b/>
          <w:bCs/>
          <w:color w:val="000000"/>
          <w:sz w:val="22"/>
          <w:szCs w:val="27"/>
          <w:lang w:val="es-MX" w:eastAsia="es-MX"/>
        </w:rPr>
        <w:lastRenderedPageBreak/>
        <w:t>Valores institucionales</w:t>
      </w:r>
    </w:p>
    <w:p w14:paraId="483B4B5B" w14:textId="77777777" w:rsidR="00721F0B" w:rsidRPr="00721F0B" w:rsidRDefault="00721F0B" w:rsidP="00721F0B">
      <w:pPr>
        <w:spacing w:before="100" w:beforeAutospacing="1" w:after="100" w:afterAutospacing="1"/>
        <w:jc w:val="both"/>
        <w:rPr>
          <w:rFonts w:asciiTheme="minorHAnsi" w:eastAsiaTheme="minorHAnsi" w:hAnsiTheme="minorHAnsi" w:cstheme="minorBidi"/>
          <w:sz w:val="22"/>
          <w:szCs w:val="22"/>
          <w:lang w:val="es-MX" w:eastAsia="es-MX"/>
        </w:rPr>
      </w:pPr>
      <w:r w:rsidRPr="00721F0B">
        <w:rPr>
          <w:rFonts w:asciiTheme="minorHAnsi" w:eastAsiaTheme="minorHAnsi" w:hAnsiTheme="minorHAnsi" w:cstheme="minorBidi"/>
          <w:sz w:val="22"/>
          <w:szCs w:val="22"/>
          <w:lang w:val="es-MX" w:eastAsia="es-MX"/>
        </w:rPr>
        <w:t>En el Régimen de Protección Social en Salud del Estado de Guanajuato, se viven los valores institucionales definidos por la Secretaría de Salud: </w:t>
      </w:r>
    </w:p>
    <w:p w14:paraId="25C6C7E3" w14:textId="77777777" w:rsidR="00721F0B" w:rsidRPr="00721F0B" w:rsidRDefault="00721F0B" w:rsidP="00721F0B">
      <w:pPr>
        <w:numPr>
          <w:ilvl w:val="0"/>
          <w:numId w:val="10"/>
        </w:numPr>
        <w:spacing w:before="100" w:beforeAutospacing="1" w:after="100" w:afterAutospacing="1" w:line="276" w:lineRule="auto"/>
        <w:jc w:val="both"/>
        <w:rPr>
          <w:rFonts w:asciiTheme="minorHAnsi" w:eastAsiaTheme="minorHAnsi" w:hAnsiTheme="minorHAnsi" w:cstheme="minorBidi"/>
          <w:sz w:val="22"/>
          <w:szCs w:val="22"/>
          <w:lang w:val="es-MX" w:eastAsia="es-MX"/>
        </w:rPr>
      </w:pPr>
      <w:r w:rsidRPr="00721F0B">
        <w:rPr>
          <w:rFonts w:asciiTheme="minorHAnsi" w:eastAsiaTheme="minorHAnsi" w:hAnsiTheme="minorHAnsi" w:cstheme="minorBidi"/>
          <w:sz w:val="22"/>
          <w:szCs w:val="22"/>
          <w:lang w:val="es-MX" w:eastAsia="es-MX"/>
        </w:rPr>
        <w:t>Ética</w:t>
      </w:r>
    </w:p>
    <w:p w14:paraId="55EF2389" w14:textId="77777777" w:rsidR="00721F0B" w:rsidRPr="00721F0B" w:rsidRDefault="00721F0B" w:rsidP="00721F0B">
      <w:pPr>
        <w:numPr>
          <w:ilvl w:val="0"/>
          <w:numId w:val="10"/>
        </w:numPr>
        <w:spacing w:before="100" w:beforeAutospacing="1" w:after="100" w:afterAutospacing="1" w:line="276" w:lineRule="auto"/>
        <w:jc w:val="both"/>
        <w:rPr>
          <w:rFonts w:asciiTheme="minorHAnsi" w:eastAsiaTheme="minorHAnsi" w:hAnsiTheme="minorHAnsi" w:cstheme="minorBidi"/>
          <w:sz w:val="22"/>
          <w:szCs w:val="22"/>
          <w:lang w:val="es-MX" w:eastAsia="es-MX"/>
        </w:rPr>
      </w:pPr>
      <w:r w:rsidRPr="00721F0B">
        <w:rPr>
          <w:rFonts w:asciiTheme="minorHAnsi" w:eastAsiaTheme="minorHAnsi" w:hAnsiTheme="minorHAnsi" w:cstheme="minorBidi"/>
          <w:sz w:val="22"/>
          <w:szCs w:val="22"/>
          <w:lang w:val="es-MX" w:eastAsia="es-MX"/>
        </w:rPr>
        <w:t>Honestidad</w:t>
      </w:r>
    </w:p>
    <w:p w14:paraId="523310F7" w14:textId="77777777" w:rsidR="00721F0B" w:rsidRPr="00721F0B" w:rsidRDefault="00721F0B" w:rsidP="00721F0B">
      <w:pPr>
        <w:numPr>
          <w:ilvl w:val="0"/>
          <w:numId w:val="10"/>
        </w:numPr>
        <w:spacing w:before="100" w:beforeAutospacing="1" w:after="100" w:afterAutospacing="1" w:line="276" w:lineRule="auto"/>
        <w:jc w:val="both"/>
        <w:rPr>
          <w:rFonts w:asciiTheme="minorHAnsi" w:eastAsiaTheme="minorHAnsi" w:hAnsiTheme="minorHAnsi" w:cstheme="minorBidi"/>
          <w:sz w:val="22"/>
          <w:szCs w:val="22"/>
          <w:lang w:val="es-MX" w:eastAsia="es-MX"/>
        </w:rPr>
      </w:pPr>
      <w:r w:rsidRPr="00721F0B">
        <w:rPr>
          <w:rFonts w:asciiTheme="minorHAnsi" w:eastAsiaTheme="minorHAnsi" w:hAnsiTheme="minorHAnsi" w:cstheme="minorBidi"/>
          <w:sz w:val="22"/>
          <w:szCs w:val="22"/>
          <w:lang w:val="es-MX" w:eastAsia="es-MX"/>
        </w:rPr>
        <w:t>Honradez</w:t>
      </w:r>
    </w:p>
    <w:p w14:paraId="0C1EB78A" w14:textId="77777777" w:rsidR="00721F0B" w:rsidRPr="00721F0B" w:rsidRDefault="00721F0B" w:rsidP="00721F0B">
      <w:pPr>
        <w:numPr>
          <w:ilvl w:val="0"/>
          <w:numId w:val="10"/>
        </w:numPr>
        <w:spacing w:before="100" w:beforeAutospacing="1" w:after="100" w:afterAutospacing="1" w:line="276" w:lineRule="auto"/>
        <w:jc w:val="both"/>
        <w:rPr>
          <w:rFonts w:asciiTheme="minorHAnsi" w:eastAsiaTheme="minorHAnsi" w:hAnsiTheme="minorHAnsi" w:cstheme="minorBidi"/>
          <w:sz w:val="22"/>
          <w:szCs w:val="22"/>
          <w:lang w:val="es-MX" w:eastAsia="es-MX"/>
        </w:rPr>
      </w:pPr>
      <w:r w:rsidRPr="00721F0B">
        <w:rPr>
          <w:rFonts w:asciiTheme="minorHAnsi" w:eastAsiaTheme="minorHAnsi" w:hAnsiTheme="minorHAnsi" w:cstheme="minorBidi"/>
          <w:sz w:val="22"/>
          <w:szCs w:val="22"/>
          <w:lang w:val="es-MX" w:eastAsia="es-MX"/>
        </w:rPr>
        <w:t>Humanitarismo</w:t>
      </w:r>
    </w:p>
    <w:p w14:paraId="1173DA84" w14:textId="77777777" w:rsidR="00721F0B" w:rsidRPr="00721F0B" w:rsidRDefault="00721F0B" w:rsidP="00721F0B">
      <w:pPr>
        <w:numPr>
          <w:ilvl w:val="0"/>
          <w:numId w:val="10"/>
        </w:numPr>
        <w:spacing w:before="100" w:beforeAutospacing="1" w:after="100" w:afterAutospacing="1" w:line="276" w:lineRule="auto"/>
        <w:jc w:val="both"/>
        <w:rPr>
          <w:rFonts w:asciiTheme="minorHAnsi" w:eastAsiaTheme="minorHAnsi" w:hAnsiTheme="minorHAnsi" w:cstheme="minorBidi"/>
          <w:sz w:val="22"/>
          <w:szCs w:val="22"/>
          <w:lang w:val="es-MX" w:eastAsia="es-MX"/>
        </w:rPr>
      </w:pPr>
      <w:r w:rsidRPr="00721F0B">
        <w:rPr>
          <w:rFonts w:asciiTheme="minorHAnsi" w:eastAsiaTheme="minorHAnsi" w:hAnsiTheme="minorHAnsi" w:cstheme="minorBidi"/>
          <w:sz w:val="22"/>
          <w:szCs w:val="22"/>
          <w:lang w:val="es-MX" w:eastAsia="es-MX"/>
        </w:rPr>
        <w:t>Imparcialidad</w:t>
      </w:r>
    </w:p>
    <w:p w14:paraId="2492A1F8" w14:textId="77777777" w:rsidR="00721F0B" w:rsidRPr="00721F0B" w:rsidRDefault="00721F0B" w:rsidP="00721F0B">
      <w:pPr>
        <w:numPr>
          <w:ilvl w:val="0"/>
          <w:numId w:val="10"/>
        </w:numPr>
        <w:spacing w:before="100" w:beforeAutospacing="1" w:after="100" w:afterAutospacing="1" w:line="276" w:lineRule="auto"/>
        <w:jc w:val="both"/>
        <w:rPr>
          <w:rFonts w:asciiTheme="minorHAnsi" w:eastAsiaTheme="minorHAnsi" w:hAnsiTheme="minorHAnsi" w:cstheme="minorBidi"/>
          <w:sz w:val="22"/>
          <w:szCs w:val="22"/>
          <w:lang w:val="es-MX" w:eastAsia="es-MX"/>
        </w:rPr>
      </w:pPr>
      <w:r w:rsidRPr="00721F0B">
        <w:rPr>
          <w:rFonts w:asciiTheme="minorHAnsi" w:eastAsiaTheme="minorHAnsi" w:hAnsiTheme="minorHAnsi" w:cstheme="minorBidi"/>
          <w:sz w:val="22"/>
          <w:szCs w:val="22"/>
          <w:lang w:val="es-MX" w:eastAsia="es-MX"/>
        </w:rPr>
        <w:t>Lealtad</w:t>
      </w:r>
    </w:p>
    <w:p w14:paraId="285C5A6C" w14:textId="77777777" w:rsidR="00721F0B" w:rsidRPr="00721F0B" w:rsidRDefault="00721F0B" w:rsidP="00721F0B">
      <w:pPr>
        <w:numPr>
          <w:ilvl w:val="0"/>
          <w:numId w:val="10"/>
        </w:numPr>
        <w:spacing w:before="100" w:beforeAutospacing="1" w:after="100" w:afterAutospacing="1" w:line="276" w:lineRule="auto"/>
        <w:jc w:val="both"/>
        <w:rPr>
          <w:rFonts w:asciiTheme="minorHAnsi" w:eastAsiaTheme="minorHAnsi" w:hAnsiTheme="minorHAnsi" w:cstheme="minorBidi"/>
          <w:sz w:val="22"/>
          <w:szCs w:val="22"/>
          <w:lang w:val="es-MX" w:eastAsia="es-MX"/>
        </w:rPr>
      </w:pPr>
      <w:r w:rsidRPr="00721F0B">
        <w:rPr>
          <w:rFonts w:asciiTheme="minorHAnsi" w:eastAsiaTheme="minorHAnsi" w:hAnsiTheme="minorHAnsi" w:cstheme="minorBidi"/>
          <w:sz w:val="22"/>
          <w:szCs w:val="22"/>
          <w:lang w:val="es-MX" w:eastAsia="es-MX"/>
        </w:rPr>
        <w:t>Respeto</w:t>
      </w:r>
    </w:p>
    <w:p w14:paraId="7A05A4F7" w14:textId="77777777" w:rsidR="00721F0B" w:rsidRPr="00721F0B" w:rsidRDefault="00721F0B" w:rsidP="00721F0B">
      <w:pPr>
        <w:numPr>
          <w:ilvl w:val="0"/>
          <w:numId w:val="10"/>
        </w:numPr>
        <w:spacing w:before="100" w:beforeAutospacing="1" w:after="100" w:afterAutospacing="1" w:line="276" w:lineRule="auto"/>
        <w:jc w:val="both"/>
        <w:rPr>
          <w:rFonts w:asciiTheme="minorHAnsi" w:eastAsiaTheme="minorHAnsi" w:hAnsiTheme="minorHAnsi" w:cstheme="minorBidi"/>
          <w:sz w:val="22"/>
          <w:szCs w:val="22"/>
          <w:lang w:val="es-MX" w:eastAsia="es-MX"/>
        </w:rPr>
      </w:pPr>
      <w:r w:rsidRPr="00721F0B">
        <w:rPr>
          <w:rFonts w:asciiTheme="minorHAnsi" w:eastAsiaTheme="minorHAnsi" w:hAnsiTheme="minorHAnsi" w:cstheme="minorBidi"/>
          <w:sz w:val="22"/>
          <w:szCs w:val="22"/>
          <w:lang w:val="es-MX" w:eastAsia="es-MX"/>
        </w:rPr>
        <w:t>Solidaridad</w:t>
      </w:r>
    </w:p>
    <w:p w14:paraId="45969FBA" w14:textId="77777777" w:rsidR="00721F0B" w:rsidRPr="00721F0B" w:rsidRDefault="00721F0B" w:rsidP="00721F0B">
      <w:pPr>
        <w:numPr>
          <w:ilvl w:val="0"/>
          <w:numId w:val="10"/>
        </w:numPr>
        <w:spacing w:before="100" w:beforeAutospacing="1" w:after="100" w:afterAutospacing="1" w:line="276" w:lineRule="auto"/>
        <w:jc w:val="both"/>
        <w:rPr>
          <w:rFonts w:asciiTheme="minorHAnsi" w:eastAsiaTheme="minorHAnsi" w:hAnsiTheme="minorHAnsi" w:cstheme="minorBidi"/>
          <w:sz w:val="22"/>
          <w:szCs w:val="22"/>
          <w:lang w:val="es-MX" w:eastAsia="es-MX"/>
        </w:rPr>
      </w:pPr>
      <w:r w:rsidRPr="00721F0B">
        <w:rPr>
          <w:rFonts w:asciiTheme="minorHAnsi" w:eastAsiaTheme="minorHAnsi" w:hAnsiTheme="minorHAnsi" w:cstheme="minorBidi"/>
          <w:sz w:val="22"/>
          <w:szCs w:val="22"/>
          <w:lang w:val="es-MX" w:eastAsia="es-MX"/>
        </w:rPr>
        <w:t>Espíritu de servicio</w:t>
      </w:r>
    </w:p>
    <w:p w14:paraId="3E7A701F" w14:textId="77777777" w:rsidR="00721F0B" w:rsidRPr="00721F0B" w:rsidRDefault="00721F0B" w:rsidP="00721F0B">
      <w:pPr>
        <w:numPr>
          <w:ilvl w:val="0"/>
          <w:numId w:val="10"/>
        </w:numPr>
        <w:spacing w:before="100" w:beforeAutospacing="1" w:after="100" w:afterAutospacing="1" w:line="276" w:lineRule="auto"/>
        <w:jc w:val="both"/>
        <w:rPr>
          <w:rFonts w:asciiTheme="minorHAnsi" w:eastAsiaTheme="minorHAnsi" w:hAnsiTheme="minorHAnsi" w:cstheme="minorBidi"/>
          <w:sz w:val="22"/>
          <w:szCs w:val="22"/>
          <w:lang w:val="es-MX" w:eastAsia="es-MX"/>
        </w:rPr>
      </w:pPr>
      <w:r w:rsidRPr="00721F0B">
        <w:rPr>
          <w:rFonts w:asciiTheme="minorHAnsi" w:eastAsiaTheme="minorHAnsi" w:hAnsiTheme="minorHAnsi" w:cstheme="minorBidi"/>
          <w:sz w:val="22"/>
          <w:szCs w:val="22"/>
          <w:lang w:val="es-MX" w:eastAsia="es-MX"/>
        </w:rPr>
        <w:t>Transparencia</w:t>
      </w:r>
    </w:p>
    <w:p w14:paraId="7A2C2F06"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Describir el panorama Económico y Financiero.</w:t>
      </w:r>
    </w:p>
    <w:p w14:paraId="0C14EA40"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 xml:space="preserve">Se informará sobre las principales condiciones económico-financieras bajo las cuales el ente público estuvo operando; y las cuales influyeron en la toma de decisiones de la administración; tanto a nivel local como federal. </w:t>
      </w:r>
    </w:p>
    <w:p w14:paraId="196B507A"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b/>
          <w:sz w:val="22"/>
          <w:szCs w:val="22"/>
          <w:lang w:val="es-MX" w:eastAsia="en-US"/>
        </w:rPr>
        <w:t>“No Aplica”</w:t>
      </w:r>
    </w:p>
    <w:p w14:paraId="44FB06C7"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p>
    <w:p w14:paraId="6D3FCB72"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436CB55F"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Autorización e Historia</w:t>
      </w:r>
    </w:p>
    <w:p w14:paraId="3C76D926" w14:textId="7B565759"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 xml:space="preserve"> El 6 de octubre del año 2015 fue publicado en el Diario Oficial de la Federación el decreto Gubernativo 126 que establece las bases jurídicas y orgánicas para la constitución del RÉGIMEN DE PROTECCIÓN SOCIAL EN SALUD DEL ESTADO DE GUANAJUATO.</w:t>
      </w:r>
    </w:p>
    <w:p w14:paraId="36756644" w14:textId="3A61EBB1" w:rsid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599BB09A"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50E101EA"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lastRenderedPageBreak/>
        <w:t xml:space="preserve"> Principales cambios en su estructura (interna históricamente)</w:t>
      </w:r>
    </w:p>
    <w:p w14:paraId="63134539"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“No Aplica”.</w:t>
      </w:r>
    </w:p>
    <w:p w14:paraId="75538607"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Organización y Objeto Social</w:t>
      </w:r>
    </w:p>
    <w:p w14:paraId="2049B115" w14:textId="77777777" w:rsidR="00721F0B" w:rsidRPr="00721F0B" w:rsidRDefault="00721F0B" w:rsidP="00721F0B">
      <w:pPr>
        <w:spacing w:after="200" w:line="276" w:lineRule="auto"/>
        <w:jc w:val="both"/>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Objeto social.</w:t>
      </w:r>
    </w:p>
    <w:p w14:paraId="461B33E4" w14:textId="6758DD22" w:rsidR="00721F0B" w:rsidRPr="00721F0B" w:rsidRDefault="00721F0B" w:rsidP="00721F0B">
      <w:pPr>
        <w:spacing w:after="200" w:line="276" w:lineRule="auto"/>
        <w:ind w:left="405"/>
        <w:contextualSpacing/>
        <w:jc w:val="both"/>
        <w:rPr>
          <w:rFonts w:asciiTheme="minorHAnsi" w:eastAsiaTheme="minorHAnsi" w:hAnsiTheme="minorHAnsi" w:cs="Arial"/>
          <w:iCs/>
          <w:color w:val="333333"/>
          <w:sz w:val="22"/>
          <w:szCs w:val="20"/>
          <w:shd w:val="clear" w:color="auto" w:fill="FFFFFF"/>
          <w:lang w:val="es-MX" w:eastAsia="en-US"/>
        </w:rPr>
      </w:pPr>
      <w:r w:rsidRPr="00721F0B">
        <w:rPr>
          <w:rFonts w:asciiTheme="minorHAnsi" w:eastAsiaTheme="minorHAnsi" w:hAnsiTheme="minorHAnsi" w:cstheme="minorBidi"/>
          <w:sz w:val="22"/>
          <w:szCs w:val="22"/>
          <w:lang w:val="es-MX" w:eastAsia="en-US"/>
        </w:rPr>
        <w:t xml:space="preserve">El RÉGIMEN DE PROTECCIÓN SOCIAL EN SALUD DEL ESTADO DE GUANAJUATO es responsable de </w:t>
      </w:r>
      <w:r w:rsidRPr="00721F0B">
        <w:rPr>
          <w:rFonts w:asciiTheme="minorHAnsi" w:eastAsiaTheme="minorHAnsi" w:hAnsiTheme="minorHAnsi" w:cs="Arial"/>
          <w:iCs/>
          <w:color w:val="333333"/>
          <w:sz w:val="22"/>
          <w:szCs w:val="20"/>
          <w:shd w:val="clear" w:color="auto" w:fill="FFFFFF"/>
          <w:lang w:val="es-MX" w:eastAsia="en-US"/>
        </w:rPr>
        <w:t>la promoción, prevención y atención médico-quirúrgica, hospitalaria y farmacéutica de calidad a la población del estado de Guanajuato que no cuentan con protección social en salud</w:t>
      </w:r>
    </w:p>
    <w:p w14:paraId="1CA293B0" w14:textId="77777777" w:rsidR="00721F0B" w:rsidRPr="00721F0B" w:rsidRDefault="00721F0B" w:rsidP="00721F0B">
      <w:pPr>
        <w:spacing w:after="200" w:line="276" w:lineRule="auto"/>
        <w:ind w:left="405"/>
        <w:contextualSpacing/>
        <w:rPr>
          <w:rFonts w:asciiTheme="minorHAnsi" w:eastAsiaTheme="minorHAnsi" w:hAnsiTheme="minorHAnsi" w:cstheme="minorBidi"/>
          <w:sz w:val="22"/>
          <w:szCs w:val="22"/>
          <w:lang w:val="es-MX" w:eastAsia="en-US"/>
        </w:rPr>
      </w:pPr>
    </w:p>
    <w:p w14:paraId="240882F5"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Las principales atribuciones del REPSSEG son:</w:t>
      </w:r>
    </w:p>
    <w:p w14:paraId="7594B76F" w14:textId="77777777" w:rsidR="00721F0B" w:rsidRPr="00721F0B" w:rsidRDefault="00721F0B" w:rsidP="00721F0B">
      <w:pPr>
        <w:numPr>
          <w:ilvl w:val="0"/>
          <w:numId w:val="11"/>
        </w:numPr>
        <w:spacing w:after="200" w:line="276" w:lineRule="auto"/>
        <w:contextualSpacing/>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Planear, organizar y administrar el Sistema de Protección Social en Salud del Estado;</w:t>
      </w:r>
    </w:p>
    <w:p w14:paraId="654E13A2" w14:textId="77777777" w:rsidR="00721F0B" w:rsidRPr="00721F0B" w:rsidRDefault="00721F0B" w:rsidP="00721F0B">
      <w:pPr>
        <w:numPr>
          <w:ilvl w:val="0"/>
          <w:numId w:val="11"/>
        </w:numPr>
        <w:spacing w:after="200" w:line="276" w:lineRule="auto"/>
        <w:contextualSpacing/>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Instrumentar la política de protección social en salud y las prioridades en salud que determine el estado:</w:t>
      </w:r>
    </w:p>
    <w:p w14:paraId="7F5426DB" w14:textId="77777777" w:rsidR="00721F0B" w:rsidRPr="00721F0B" w:rsidRDefault="00721F0B" w:rsidP="00721F0B">
      <w:pPr>
        <w:numPr>
          <w:ilvl w:val="0"/>
          <w:numId w:val="11"/>
        </w:numPr>
        <w:spacing w:after="200" w:line="276" w:lineRule="auto"/>
        <w:contextualSpacing/>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Administrar, supervisar y gestionar los recursos que le sean transferidos o aportados para la ejecución y el financiamiento de las acciones del Sistema de Protección Social en Salud, de conformidad con la normatividad aplicable;</w:t>
      </w:r>
    </w:p>
    <w:p w14:paraId="5A63AD2C" w14:textId="77777777" w:rsidR="00721F0B" w:rsidRPr="00721F0B" w:rsidRDefault="00721F0B" w:rsidP="00721F0B">
      <w:pPr>
        <w:numPr>
          <w:ilvl w:val="0"/>
          <w:numId w:val="11"/>
        </w:numPr>
        <w:spacing w:after="200" w:line="276" w:lineRule="auto"/>
        <w:contextualSpacing/>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Financiar, coordinar y verificar de forma eficiente, oportuna y sistemática, la prestación integral de los servicios de salud a la persona del Sistema de Protección Social en Salud a cargo de los establecimientos para la atención médica incorporados a este sistema.</w:t>
      </w:r>
    </w:p>
    <w:p w14:paraId="3CF75683"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77BEBE25"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6B919A7C"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Ejercicio Fiscal</w:t>
      </w:r>
    </w:p>
    <w:p w14:paraId="4BE0696D" w14:textId="77777777" w:rsidR="00721F0B" w:rsidRPr="00721F0B" w:rsidRDefault="00721F0B" w:rsidP="00721F0B">
      <w:pPr>
        <w:spacing w:after="200" w:line="276" w:lineRule="auto"/>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Ejercicio 2019, periodo Diciembre.</w:t>
      </w:r>
    </w:p>
    <w:p w14:paraId="7B396777" w14:textId="7FA53673" w:rsidR="00721F0B" w:rsidRDefault="00721F0B" w:rsidP="00721F0B">
      <w:pPr>
        <w:spacing w:after="200" w:line="276" w:lineRule="auto"/>
        <w:rPr>
          <w:rFonts w:asciiTheme="minorHAnsi" w:eastAsiaTheme="minorHAnsi" w:hAnsiTheme="minorHAnsi" w:cstheme="minorBidi"/>
          <w:sz w:val="22"/>
          <w:szCs w:val="22"/>
          <w:lang w:val="es-MX" w:eastAsia="en-US"/>
        </w:rPr>
      </w:pPr>
    </w:p>
    <w:p w14:paraId="0026D603" w14:textId="6CECEADB" w:rsidR="00714577" w:rsidRDefault="00714577" w:rsidP="00721F0B">
      <w:pPr>
        <w:spacing w:after="200" w:line="276" w:lineRule="auto"/>
        <w:rPr>
          <w:rFonts w:asciiTheme="minorHAnsi" w:eastAsiaTheme="minorHAnsi" w:hAnsiTheme="minorHAnsi" w:cstheme="minorBidi"/>
          <w:sz w:val="22"/>
          <w:szCs w:val="22"/>
          <w:lang w:val="es-MX" w:eastAsia="en-US"/>
        </w:rPr>
      </w:pPr>
    </w:p>
    <w:p w14:paraId="57FAD57C" w14:textId="77777777" w:rsidR="00714577" w:rsidRDefault="00714577" w:rsidP="00721F0B">
      <w:pPr>
        <w:spacing w:after="200" w:line="276" w:lineRule="auto"/>
        <w:rPr>
          <w:rFonts w:asciiTheme="minorHAnsi" w:eastAsiaTheme="minorHAnsi" w:hAnsiTheme="minorHAnsi" w:cstheme="minorBidi"/>
          <w:sz w:val="22"/>
          <w:szCs w:val="22"/>
          <w:lang w:val="es-MX" w:eastAsia="en-US"/>
        </w:rPr>
      </w:pPr>
    </w:p>
    <w:p w14:paraId="6BBAF559" w14:textId="77777777" w:rsidR="00721F0B" w:rsidRPr="00721F0B" w:rsidRDefault="00721F0B" w:rsidP="00721F0B">
      <w:pPr>
        <w:spacing w:after="200" w:line="276" w:lineRule="auto"/>
        <w:rPr>
          <w:rFonts w:asciiTheme="minorHAnsi" w:eastAsiaTheme="minorHAnsi" w:hAnsiTheme="minorHAnsi" w:cstheme="minorBidi"/>
          <w:sz w:val="22"/>
          <w:szCs w:val="22"/>
          <w:lang w:val="es-MX" w:eastAsia="en-US"/>
        </w:rPr>
      </w:pPr>
    </w:p>
    <w:p w14:paraId="64433D82"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lastRenderedPageBreak/>
        <w:t>Régimen jurídico</w:t>
      </w:r>
    </w:p>
    <w:p w14:paraId="029B990B" w14:textId="77777777" w:rsidR="00721F0B" w:rsidRPr="00721F0B" w:rsidRDefault="00721F0B" w:rsidP="00721F0B">
      <w:pPr>
        <w:spacing w:after="200" w:line="276" w:lineRule="auto"/>
        <w:ind w:left="708" w:hanging="708"/>
        <w:jc w:val="both"/>
        <w:rPr>
          <w:rFonts w:asciiTheme="minorHAnsi" w:eastAsiaTheme="minorHAnsi" w:hAnsiTheme="minorHAnsi" w:cstheme="minorBidi"/>
          <w:sz w:val="22"/>
          <w:szCs w:val="22"/>
          <w:lang w:val="es-MX" w:eastAsia="en-US"/>
        </w:rPr>
      </w:pPr>
    </w:p>
    <w:p w14:paraId="264AF54B" w14:textId="7E634FF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Organismo público descentralizado de la Administración Pública Estatal, con personalidad jurídica y patrimonio propios. El RÉGIMEN DE PROTECCIÓN SOCIAL EN SALUD DEL ESTADO DE GUANAJUATO está registrado ante la S.H.C.P. como Persona Moral con fines no lucrativos (Título III de la Ley de I.S.R)</w:t>
      </w:r>
    </w:p>
    <w:p w14:paraId="24B0FDDD"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Consideraciones fiscales del ente</w:t>
      </w:r>
    </w:p>
    <w:p w14:paraId="3507D9EF"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094066B7" w14:textId="1FA7118C"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 xml:space="preserve">El RÉGIMEN DE PROTECCIÓN SOCIAL EN SALUD DEL ESTADO DE GUANAJUATO se ubica dentro de las personas morales a que se refiere al art. 95 y 102 de la L.I.S.R., por lo que de acuerdo con el art. 93 de la misma ley no se consideran como contribuyente del I.S.R. Pero tiene otras obligaciones como: </w:t>
      </w:r>
    </w:p>
    <w:p w14:paraId="06B13980" w14:textId="77777777" w:rsidR="00721F0B" w:rsidRPr="00721F0B" w:rsidRDefault="00721F0B" w:rsidP="00721F0B">
      <w:pPr>
        <w:numPr>
          <w:ilvl w:val="0"/>
          <w:numId w:val="9"/>
        </w:numPr>
        <w:spacing w:after="200" w:line="276" w:lineRule="auto"/>
        <w:contextualSpacing/>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 xml:space="preserve">Presentar la declaración y pago provisional mensual de retenciones del Impuesto Sobre la Renta (ISR) por sueldos y salarios. </w:t>
      </w:r>
    </w:p>
    <w:p w14:paraId="57F78DC2" w14:textId="77777777" w:rsidR="00721F0B" w:rsidRPr="00721F0B" w:rsidRDefault="00721F0B" w:rsidP="00721F0B">
      <w:pPr>
        <w:numPr>
          <w:ilvl w:val="0"/>
          <w:numId w:val="9"/>
        </w:numPr>
        <w:spacing w:after="200" w:line="276" w:lineRule="auto"/>
        <w:contextualSpacing/>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Presentar la declaración y pago provisional mensual de retenciones del Impuesto Sobre la Renta (ISR) por Asimilados a salarios.</w:t>
      </w:r>
    </w:p>
    <w:p w14:paraId="4F063666" w14:textId="77777777" w:rsidR="00721F0B" w:rsidRPr="00721F0B" w:rsidRDefault="00721F0B" w:rsidP="00721F0B">
      <w:pPr>
        <w:numPr>
          <w:ilvl w:val="0"/>
          <w:numId w:val="9"/>
        </w:numPr>
        <w:spacing w:after="200" w:line="276" w:lineRule="auto"/>
        <w:contextualSpacing/>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Presentar la declaración y pago provisional mensual del Impuesto Sobre la Renta (ISR) por pagos por cuenta de terceros o retenciones por arrendamiento de inmuebles.</w:t>
      </w:r>
    </w:p>
    <w:p w14:paraId="3C61C89D" w14:textId="77777777" w:rsidR="00721F0B" w:rsidRPr="00721F0B" w:rsidRDefault="00721F0B" w:rsidP="00721F0B">
      <w:pPr>
        <w:spacing w:after="200" w:line="276" w:lineRule="auto"/>
        <w:ind w:left="720"/>
        <w:contextualSpacing/>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 xml:space="preserve"> </w:t>
      </w:r>
    </w:p>
    <w:p w14:paraId="6F3C2CF5" w14:textId="3A88F95D" w:rsid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 xml:space="preserve">Además, se tiene la obligación de presentar la declaración informativa de operaciones con terceros (DIOT) </w:t>
      </w:r>
      <w:r>
        <w:rPr>
          <w:rFonts w:asciiTheme="minorHAnsi" w:eastAsiaTheme="minorHAnsi" w:hAnsiTheme="minorHAnsi" w:cstheme="minorBidi"/>
          <w:sz w:val="22"/>
          <w:szCs w:val="22"/>
          <w:lang w:val="es-MX" w:eastAsia="en-US"/>
        </w:rPr>
        <w:t>así como</w:t>
      </w:r>
      <w:r w:rsidRPr="00721F0B">
        <w:rPr>
          <w:rFonts w:asciiTheme="minorHAnsi" w:eastAsiaTheme="minorHAnsi" w:hAnsiTheme="minorHAnsi" w:cstheme="minorBidi"/>
          <w:sz w:val="22"/>
          <w:szCs w:val="22"/>
          <w:lang w:val="es-MX" w:eastAsia="en-US"/>
        </w:rPr>
        <w:t xml:space="preserve"> declaración de impuesto sobre nómina e impuesto cedular por arrendamiento presentada ante el estado.</w:t>
      </w:r>
    </w:p>
    <w:p w14:paraId="33D33FAD" w14:textId="4A3E8FFC" w:rsid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5D26A2F7" w14:textId="2E46D791" w:rsid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6EC8967C" w14:textId="204217D2" w:rsid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2298A809" w14:textId="55732574" w:rsid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3D70B838" w14:textId="28581775" w:rsid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5688B88C" w14:textId="561CB2EB" w:rsid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2608B5F8" w14:textId="3739A158" w:rsid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38EF73ED"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729593A9"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6F4EA085"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noProof/>
          <w:sz w:val="22"/>
          <w:szCs w:val="22"/>
          <w:lang w:val="es-MX" w:eastAsia="es-MX"/>
        </w:rPr>
        <w:drawing>
          <wp:anchor distT="0" distB="0" distL="114300" distR="114300" simplePos="0" relativeHeight="251659264" behindDoc="0" locked="0" layoutInCell="1" allowOverlap="1" wp14:anchorId="04FC5B42" wp14:editId="6045B85C">
            <wp:simplePos x="0" y="0"/>
            <wp:positionH relativeFrom="column">
              <wp:posOffset>1723390</wp:posOffset>
            </wp:positionH>
            <wp:positionV relativeFrom="paragraph">
              <wp:posOffset>153225</wp:posOffset>
            </wp:positionV>
            <wp:extent cx="4788838" cy="3696102"/>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8838" cy="3696102"/>
                    </a:xfrm>
                    <a:prstGeom prst="rect">
                      <a:avLst/>
                    </a:prstGeom>
                    <a:noFill/>
                  </pic:spPr>
                </pic:pic>
              </a:graphicData>
            </a:graphic>
            <wp14:sizeRelH relativeFrom="page">
              <wp14:pctWidth>0</wp14:pctWidth>
            </wp14:sizeRelH>
            <wp14:sizeRelV relativeFrom="page">
              <wp14:pctHeight>0</wp14:pctHeight>
            </wp14:sizeRelV>
          </wp:anchor>
        </w:drawing>
      </w:r>
      <w:r w:rsidRPr="00721F0B">
        <w:rPr>
          <w:rFonts w:asciiTheme="minorHAnsi" w:eastAsiaTheme="minorHAnsi" w:hAnsiTheme="minorHAnsi" w:cstheme="minorBidi"/>
          <w:b/>
          <w:sz w:val="22"/>
          <w:szCs w:val="22"/>
          <w:lang w:val="es-MX" w:eastAsia="en-US"/>
        </w:rPr>
        <w:t>Estructura organizacional básica</w:t>
      </w:r>
    </w:p>
    <w:p w14:paraId="3670FE56" w14:textId="77777777" w:rsidR="00721F0B" w:rsidRPr="00721F0B" w:rsidRDefault="00721F0B" w:rsidP="00721F0B">
      <w:pPr>
        <w:tabs>
          <w:tab w:val="left" w:pos="5375"/>
        </w:tabs>
        <w:spacing w:after="200" w:line="276" w:lineRule="auto"/>
        <w:jc w:val="center"/>
        <w:rPr>
          <w:rFonts w:asciiTheme="minorHAnsi" w:eastAsiaTheme="minorHAnsi" w:hAnsiTheme="minorHAnsi" w:cstheme="minorBidi"/>
          <w:b/>
          <w:sz w:val="22"/>
          <w:szCs w:val="22"/>
          <w:lang w:val="es-MX" w:eastAsia="en-US"/>
        </w:rPr>
      </w:pPr>
    </w:p>
    <w:p w14:paraId="27D9F200"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6F25ABC9"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133C2A4B"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062F44DC"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5E715595"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3CED0EAB"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6D589248"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79F0BE07"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23B705B6"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3F62D1A3"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4D112EBC"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Fideicomisos, mandatos y análogos de los cuales es fideicomitente o fiduciario</w:t>
      </w:r>
    </w:p>
    <w:p w14:paraId="273AB7F1"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“No Aplica”.</w:t>
      </w:r>
    </w:p>
    <w:p w14:paraId="12AF63A2"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p>
    <w:p w14:paraId="6D8DF17A"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p>
    <w:p w14:paraId="7975B4ED" w14:textId="553F2576" w:rsidR="00721F0B" w:rsidRDefault="00721F0B" w:rsidP="00721F0B">
      <w:pPr>
        <w:spacing w:after="200" w:line="276" w:lineRule="auto"/>
        <w:rPr>
          <w:rFonts w:asciiTheme="minorHAnsi" w:eastAsiaTheme="minorHAnsi" w:hAnsiTheme="minorHAnsi" w:cstheme="minorBidi"/>
          <w:b/>
          <w:sz w:val="22"/>
          <w:szCs w:val="22"/>
          <w:lang w:val="es-MX" w:eastAsia="en-US"/>
        </w:rPr>
      </w:pPr>
    </w:p>
    <w:p w14:paraId="728CFBF4" w14:textId="25AAA28C" w:rsidR="00721F0B" w:rsidRDefault="00721F0B" w:rsidP="00721F0B">
      <w:pPr>
        <w:spacing w:after="200" w:line="276" w:lineRule="auto"/>
        <w:rPr>
          <w:rFonts w:asciiTheme="minorHAnsi" w:eastAsiaTheme="minorHAnsi" w:hAnsiTheme="minorHAnsi" w:cstheme="minorBidi"/>
          <w:b/>
          <w:sz w:val="22"/>
          <w:szCs w:val="22"/>
          <w:lang w:val="es-MX" w:eastAsia="en-US"/>
        </w:rPr>
      </w:pPr>
    </w:p>
    <w:p w14:paraId="1E2AA5B6"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p>
    <w:p w14:paraId="33AADF9C"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Bases de Preparación de los Estados Financieros</w:t>
      </w:r>
    </w:p>
    <w:p w14:paraId="3D5132B9"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p>
    <w:p w14:paraId="6F13AEE2"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Se ha observado la normatividad emitida por el CONAC y las disposiciones legales aplicables</w:t>
      </w:r>
    </w:p>
    <w:p w14:paraId="6128FF79" w14:textId="1B41E4C4"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Se ha observado la normatividad emitida por el CONAC y la Ley General de Contabilidad Gubernamental (LGCG) para la emisión de los estados financieros contables.</w:t>
      </w:r>
    </w:p>
    <w:p w14:paraId="7CDDAA08" w14:textId="77777777" w:rsidR="00721F0B" w:rsidRPr="00721F0B" w:rsidRDefault="00721F0B" w:rsidP="00721F0B">
      <w:pPr>
        <w:spacing w:after="200" w:line="276" w:lineRule="auto"/>
        <w:jc w:val="both"/>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ED0F661" w14:textId="49F1FF8E"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Todos los eventos que afectan económicamente al Régimen de Protección Social en Salud del Estado de Guanajuato están cuantificados en términos monetarios y se registran al costo de realización, dicho costo de las operaciones corresponde al monto erogado para su adquisición conforme a la documentación contable original justificativa y comprobatoria.</w:t>
      </w:r>
    </w:p>
    <w:p w14:paraId="1188E2A6"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Postulados básicos</w:t>
      </w:r>
    </w:p>
    <w:p w14:paraId="4B6BB400"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7DE53897"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 con el fin de lograr armonizar la información.</w:t>
      </w:r>
    </w:p>
    <w:p w14:paraId="5DB8FBD4"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Tomando como base de registro el devengado contable como base del registro y tratamiento valorativo de los hechos económicos financieros, el reconocimiento de los activos, pasivos, ingresos y gastos públicos; el patrimonio de la entidad. Utilizando para ello catálogo de cuentas y plan de cuentas alineados con las disposiciones del CONAC.</w:t>
      </w:r>
    </w:p>
    <w:p w14:paraId="1CA1E157"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lastRenderedPageBreak/>
        <w:t>El registro de los eventos económicos-financieros y rendición de cuentas se divide en periodos de un año de calendario que comprende a partir del 1 de enero al 31 de diciembre y está relacionado con la ejecución de los presupuestos públicos de ingresos y egresos, considerando los efectos patrimoniales y su vinculación con las etapas presupuestarias, sin que esto limite la integración del avance de gestión financiera trimestral con sus debidas notas.</w:t>
      </w:r>
    </w:p>
    <w:p w14:paraId="094E7A9C"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 xml:space="preserve">El registro de los activos y pasivos de la entidad se valúan al costo histórico registrándose en moneda nacional. </w:t>
      </w:r>
    </w:p>
    <w:p w14:paraId="22C26866" w14:textId="77777777" w:rsidR="00721F0B" w:rsidRPr="00721F0B" w:rsidRDefault="00721F0B" w:rsidP="00721F0B">
      <w:pPr>
        <w:spacing w:after="200" w:line="276" w:lineRule="auto"/>
        <w:rPr>
          <w:rFonts w:asciiTheme="minorHAnsi" w:eastAsiaTheme="minorHAnsi" w:hAnsiTheme="minorHAnsi" w:cstheme="minorBidi"/>
          <w:sz w:val="22"/>
          <w:szCs w:val="22"/>
          <w:lang w:val="es-MX" w:eastAsia="en-US"/>
        </w:rPr>
      </w:pPr>
    </w:p>
    <w:p w14:paraId="172BCD99" w14:textId="77777777" w:rsidR="00721F0B" w:rsidRPr="00721F0B" w:rsidRDefault="00721F0B" w:rsidP="00721F0B">
      <w:pPr>
        <w:spacing w:after="200" w:line="276" w:lineRule="auto"/>
        <w:jc w:val="center"/>
        <w:rPr>
          <w:rFonts w:asciiTheme="minorHAnsi" w:eastAsiaTheme="minorHAnsi" w:hAnsiTheme="minorHAnsi" w:cstheme="minorBidi"/>
          <w:b/>
          <w:sz w:val="22"/>
          <w:szCs w:val="20"/>
          <w:lang w:val="es-MX" w:eastAsia="en-US"/>
        </w:rPr>
      </w:pPr>
      <w:r w:rsidRPr="00721F0B">
        <w:rPr>
          <w:rFonts w:asciiTheme="minorHAnsi" w:eastAsiaTheme="minorHAnsi" w:hAnsiTheme="minorHAnsi" w:cstheme="minorBidi"/>
          <w:b/>
          <w:sz w:val="22"/>
          <w:szCs w:val="20"/>
          <w:lang w:val="es-MX" w:eastAsia="en-US"/>
        </w:rPr>
        <w:t>Normatividad supletoria</w:t>
      </w:r>
    </w:p>
    <w:p w14:paraId="067B376F" w14:textId="77777777" w:rsidR="00721F0B" w:rsidRPr="00721F0B" w:rsidRDefault="00721F0B" w:rsidP="00721F0B">
      <w:pPr>
        <w:spacing w:after="200" w:line="276" w:lineRule="auto"/>
        <w:rPr>
          <w:rFonts w:asciiTheme="minorHAnsi" w:eastAsiaTheme="minorHAnsi" w:hAnsiTheme="minorHAnsi" w:cstheme="minorBidi"/>
          <w:b/>
          <w:sz w:val="22"/>
          <w:szCs w:val="20"/>
          <w:lang w:val="es-MX" w:eastAsia="en-US"/>
        </w:rPr>
      </w:pPr>
      <w:r w:rsidRPr="00721F0B">
        <w:rPr>
          <w:rFonts w:asciiTheme="minorHAnsi" w:eastAsiaTheme="minorHAnsi" w:hAnsiTheme="minorHAnsi" w:cstheme="minorBidi"/>
          <w:b/>
          <w:sz w:val="22"/>
          <w:szCs w:val="20"/>
          <w:lang w:val="es-MX" w:eastAsia="en-US"/>
        </w:rPr>
        <w:t>“No Aplica”</w:t>
      </w:r>
    </w:p>
    <w:p w14:paraId="400A506D" w14:textId="77777777" w:rsidR="00721F0B" w:rsidRPr="00721F0B" w:rsidRDefault="00721F0B" w:rsidP="00721F0B">
      <w:pPr>
        <w:spacing w:after="200" w:line="276" w:lineRule="auto"/>
        <w:jc w:val="center"/>
        <w:rPr>
          <w:rFonts w:asciiTheme="minorHAnsi" w:eastAsiaTheme="minorHAnsi" w:hAnsiTheme="minorHAnsi" w:cstheme="minorBidi"/>
          <w:b/>
          <w:sz w:val="20"/>
          <w:szCs w:val="20"/>
          <w:lang w:val="es-MX" w:eastAsia="en-US"/>
        </w:rPr>
      </w:pPr>
    </w:p>
    <w:p w14:paraId="66BC3ACA"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 xml:space="preserve">Para las entidades que por primera vez estén implementando </w:t>
      </w:r>
      <w:proofErr w:type="gramStart"/>
      <w:r w:rsidRPr="00721F0B">
        <w:rPr>
          <w:rFonts w:asciiTheme="minorHAnsi" w:eastAsiaTheme="minorHAnsi" w:hAnsiTheme="minorHAnsi" w:cstheme="minorBidi"/>
          <w:b/>
          <w:sz w:val="22"/>
          <w:szCs w:val="22"/>
          <w:lang w:val="es-MX" w:eastAsia="en-US"/>
        </w:rPr>
        <w:t>la base devengado</w:t>
      </w:r>
      <w:proofErr w:type="gramEnd"/>
      <w:r w:rsidRPr="00721F0B">
        <w:rPr>
          <w:rFonts w:asciiTheme="minorHAnsi" w:eastAsiaTheme="minorHAnsi" w:hAnsiTheme="minorHAnsi" w:cstheme="minorBidi"/>
          <w:b/>
          <w:sz w:val="22"/>
          <w:szCs w:val="22"/>
          <w:lang w:val="es-MX" w:eastAsia="en-US"/>
        </w:rPr>
        <w:t xml:space="preserve"> de acuerdo a la Ley de Contabilidad,</w:t>
      </w:r>
    </w:p>
    <w:p w14:paraId="5E284560" w14:textId="77777777" w:rsidR="00721F0B" w:rsidRPr="00721F0B" w:rsidRDefault="00721F0B" w:rsidP="00721F0B">
      <w:pPr>
        <w:spacing w:after="200" w:line="276" w:lineRule="auto"/>
        <w:rPr>
          <w:rFonts w:asciiTheme="minorHAnsi" w:eastAsiaTheme="minorHAnsi" w:hAnsiTheme="minorHAnsi" w:cstheme="minorBidi"/>
          <w:b/>
          <w:sz w:val="22"/>
          <w:szCs w:val="20"/>
          <w:lang w:val="es-MX" w:eastAsia="en-US"/>
        </w:rPr>
      </w:pPr>
      <w:r w:rsidRPr="00721F0B">
        <w:rPr>
          <w:rFonts w:asciiTheme="minorHAnsi" w:eastAsiaTheme="minorHAnsi" w:hAnsiTheme="minorHAnsi" w:cstheme="minorBidi"/>
          <w:b/>
          <w:sz w:val="22"/>
          <w:szCs w:val="20"/>
          <w:lang w:val="es-MX" w:eastAsia="en-US"/>
        </w:rPr>
        <w:t>“No Aplica”</w:t>
      </w:r>
    </w:p>
    <w:p w14:paraId="49FA6697"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263E8C38"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Políticas de Contabilidad Significativas</w:t>
      </w:r>
    </w:p>
    <w:p w14:paraId="48960042" w14:textId="77777777" w:rsidR="00721F0B" w:rsidRPr="00721F0B" w:rsidRDefault="00721F0B" w:rsidP="00721F0B">
      <w:pPr>
        <w:spacing w:after="200" w:line="276" w:lineRule="auto"/>
        <w:rPr>
          <w:rFonts w:asciiTheme="minorHAnsi" w:eastAsiaTheme="minorHAnsi" w:hAnsiTheme="minorHAnsi" w:cstheme="minorBidi"/>
          <w:sz w:val="22"/>
          <w:szCs w:val="22"/>
          <w:lang w:val="es-MX" w:eastAsia="en-US"/>
        </w:rPr>
      </w:pPr>
    </w:p>
    <w:p w14:paraId="3D94BB7E"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Los trabajadores disfrutarán de su periodo vacacional completo anualmente. El periodo vacacional se divide en 2 periodos vacacionales al año cada uno con una duración de 10 días hábiles.</w:t>
      </w:r>
    </w:p>
    <w:p w14:paraId="0DE9B09C"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5929105C"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Los empleados del REPSSEG tendrán derecho a una prima vacacional del 50% sobre los salarios que les corresponda durante sus periodos vacacionales.</w:t>
      </w:r>
    </w:p>
    <w:p w14:paraId="2C4848E4" w14:textId="4CDCDCEC"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Los empleados del REPSSEG que laboran el año fiscal completo tendrán a 45 días de aguinaldo con cargo al presupuesto y resultado del ejercicio en que se determine exigible, pagadero.</w:t>
      </w:r>
    </w:p>
    <w:p w14:paraId="6C211164" w14:textId="008D51B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 xml:space="preserve">Los trabajadores que tengan menos de un año de </w:t>
      </w:r>
      <w:r w:rsidR="00714577" w:rsidRPr="00721F0B">
        <w:rPr>
          <w:rFonts w:asciiTheme="minorHAnsi" w:eastAsiaTheme="minorHAnsi" w:hAnsiTheme="minorHAnsi" w:cstheme="minorBidi"/>
          <w:sz w:val="22"/>
          <w:szCs w:val="22"/>
          <w:lang w:val="es-MX" w:eastAsia="en-US"/>
        </w:rPr>
        <w:t>antigüedad</w:t>
      </w:r>
      <w:r w:rsidRPr="00721F0B">
        <w:rPr>
          <w:rFonts w:asciiTheme="minorHAnsi" w:eastAsiaTheme="minorHAnsi" w:hAnsiTheme="minorHAnsi" w:cstheme="minorBidi"/>
          <w:sz w:val="22"/>
          <w:szCs w:val="22"/>
          <w:lang w:val="es-MX" w:eastAsia="en-US"/>
        </w:rPr>
        <w:t xml:space="preserve"> recibirán el pago de aguinaldo proporcional al tiempo laborado.</w:t>
      </w:r>
    </w:p>
    <w:p w14:paraId="4BA51CDE" w14:textId="48847AF9" w:rsid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1D6E83B8" w14:textId="33BFDFF1" w:rsidR="00714577" w:rsidRDefault="00714577" w:rsidP="00721F0B">
      <w:pPr>
        <w:spacing w:after="200" w:line="276" w:lineRule="auto"/>
        <w:jc w:val="both"/>
        <w:rPr>
          <w:rFonts w:asciiTheme="minorHAnsi" w:eastAsiaTheme="minorHAnsi" w:hAnsiTheme="minorHAnsi" w:cstheme="minorBidi"/>
          <w:sz w:val="22"/>
          <w:szCs w:val="22"/>
          <w:lang w:val="es-MX" w:eastAsia="en-US"/>
        </w:rPr>
      </w:pPr>
    </w:p>
    <w:p w14:paraId="62FEFFEF" w14:textId="77777777" w:rsidR="00714577" w:rsidRPr="00721F0B" w:rsidRDefault="00714577" w:rsidP="00721F0B">
      <w:pPr>
        <w:spacing w:after="200" w:line="276" w:lineRule="auto"/>
        <w:jc w:val="both"/>
        <w:rPr>
          <w:rFonts w:asciiTheme="minorHAnsi" w:eastAsiaTheme="minorHAnsi" w:hAnsiTheme="minorHAnsi" w:cstheme="minorBidi"/>
          <w:sz w:val="22"/>
          <w:szCs w:val="22"/>
          <w:lang w:val="es-MX" w:eastAsia="en-US"/>
        </w:rPr>
      </w:pPr>
    </w:p>
    <w:p w14:paraId="18514E16"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Provisiones de Pasivo y Activo</w:t>
      </w:r>
    </w:p>
    <w:p w14:paraId="022D68E1"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El saldo al 31 de diciembre de 2019 consiste en reconocer los derechos y obligaciones que quedaron pendientes de cobro o de pago al cierre del periodo, el plazo para la recuperación y pago son a corto plazo, es decir menor a 90 días posteriores al cierre del periodo.</w:t>
      </w:r>
    </w:p>
    <w:p w14:paraId="231D2CC6"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314B61C7"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p>
    <w:p w14:paraId="33F2E277"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Posición en Moneda Extranjera y Protección por Riesgo Cambiario</w:t>
      </w:r>
    </w:p>
    <w:p w14:paraId="07E6BA8A" w14:textId="77777777" w:rsidR="00721F0B" w:rsidRPr="00721F0B" w:rsidRDefault="00721F0B" w:rsidP="00721F0B">
      <w:pPr>
        <w:spacing w:after="200" w:line="276" w:lineRule="auto"/>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 xml:space="preserve"> a) Activos en moneda extranjera: </w:t>
      </w:r>
      <w:r w:rsidRPr="00721F0B">
        <w:rPr>
          <w:rFonts w:asciiTheme="minorHAnsi" w:eastAsiaTheme="minorHAnsi" w:hAnsiTheme="minorHAnsi" w:cstheme="minorBidi"/>
          <w:b/>
          <w:sz w:val="22"/>
          <w:szCs w:val="22"/>
          <w:lang w:val="es-MX" w:eastAsia="en-US"/>
        </w:rPr>
        <w:t>“No Aplica”</w:t>
      </w:r>
      <w:r w:rsidRPr="00721F0B">
        <w:rPr>
          <w:rFonts w:asciiTheme="minorHAnsi" w:eastAsiaTheme="minorHAnsi" w:hAnsiTheme="minorHAnsi" w:cstheme="minorBidi"/>
          <w:sz w:val="22"/>
          <w:szCs w:val="22"/>
          <w:lang w:val="es-MX" w:eastAsia="en-US"/>
        </w:rPr>
        <w:t xml:space="preserve"> </w:t>
      </w:r>
    </w:p>
    <w:p w14:paraId="398EE24D"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sz w:val="22"/>
          <w:szCs w:val="22"/>
          <w:lang w:val="es-MX" w:eastAsia="en-US"/>
        </w:rPr>
        <w:t>b) Pasivos en moneda extranjera: “</w:t>
      </w:r>
      <w:r w:rsidRPr="00721F0B">
        <w:rPr>
          <w:rFonts w:asciiTheme="minorHAnsi" w:eastAsiaTheme="minorHAnsi" w:hAnsiTheme="minorHAnsi" w:cstheme="minorBidi"/>
          <w:b/>
          <w:sz w:val="22"/>
          <w:szCs w:val="22"/>
          <w:lang w:val="es-MX" w:eastAsia="en-US"/>
        </w:rPr>
        <w:t xml:space="preserve">No Aplica” </w:t>
      </w:r>
    </w:p>
    <w:p w14:paraId="398C7738"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sz w:val="22"/>
          <w:szCs w:val="22"/>
          <w:lang w:val="es-MX" w:eastAsia="en-US"/>
        </w:rPr>
        <w:t xml:space="preserve">c) Posición en moneda extranjera: </w:t>
      </w:r>
      <w:r w:rsidRPr="00721F0B">
        <w:rPr>
          <w:rFonts w:asciiTheme="minorHAnsi" w:eastAsiaTheme="minorHAnsi" w:hAnsiTheme="minorHAnsi" w:cstheme="minorBidi"/>
          <w:b/>
          <w:sz w:val="22"/>
          <w:szCs w:val="22"/>
          <w:lang w:val="es-MX" w:eastAsia="en-US"/>
        </w:rPr>
        <w:t>“No Aplica”</w:t>
      </w:r>
    </w:p>
    <w:p w14:paraId="5CC6719D" w14:textId="77777777" w:rsidR="00721F0B" w:rsidRPr="00721F0B" w:rsidRDefault="00721F0B" w:rsidP="00721F0B">
      <w:pPr>
        <w:spacing w:after="200" w:line="276" w:lineRule="auto"/>
        <w:ind w:left="2124" w:hanging="2124"/>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sz w:val="22"/>
          <w:szCs w:val="22"/>
          <w:lang w:val="es-MX" w:eastAsia="en-US"/>
        </w:rPr>
        <w:t>d) Tipo de cambio:</w:t>
      </w:r>
      <w:r w:rsidRPr="00721F0B">
        <w:rPr>
          <w:rFonts w:asciiTheme="minorHAnsi" w:eastAsiaTheme="minorHAnsi" w:hAnsiTheme="minorHAnsi" w:cstheme="minorBidi"/>
          <w:b/>
          <w:sz w:val="22"/>
          <w:szCs w:val="22"/>
          <w:lang w:val="es-MX" w:eastAsia="en-US"/>
        </w:rPr>
        <w:t xml:space="preserve"> “No Aplica” </w:t>
      </w:r>
    </w:p>
    <w:p w14:paraId="44017ECF"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sz w:val="22"/>
          <w:szCs w:val="22"/>
          <w:lang w:val="es-MX" w:eastAsia="en-US"/>
        </w:rPr>
        <w:t xml:space="preserve">e) Equivalente en moneda nacional: </w:t>
      </w:r>
      <w:r w:rsidRPr="00721F0B">
        <w:rPr>
          <w:rFonts w:asciiTheme="minorHAnsi" w:eastAsiaTheme="minorHAnsi" w:hAnsiTheme="minorHAnsi" w:cstheme="minorBidi"/>
          <w:b/>
          <w:sz w:val="22"/>
          <w:szCs w:val="22"/>
          <w:lang w:val="es-MX" w:eastAsia="en-US"/>
        </w:rPr>
        <w:t>“No Aplica”</w:t>
      </w:r>
    </w:p>
    <w:p w14:paraId="086A9ED3"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p>
    <w:p w14:paraId="7D5BAD09" w14:textId="6BAD566D" w:rsidR="00721F0B" w:rsidRDefault="00721F0B" w:rsidP="00721F0B">
      <w:pPr>
        <w:spacing w:after="200" w:line="276" w:lineRule="auto"/>
        <w:rPr>
          <w:rFonts w:asciiTheme="minorHAnsi" w:eastAsiaTheme="minorHAnsi" w:hAnsiTheme="minorHAnsi" w:cstheme="minorBidi"/>
          <w:b/>
          <w:sz w:val="22"/>
          <w:szCs w:val="22"/>
          <w:lang w:val="es-MX" w:eastAsia="en-US"/>
        </w:rPr>
      </w:pPr>
    </w:p>
    <w:p w14:paraId="73D9954C" w14:textId="7D416EA1" w:rsidR="00714577" w:rsidRDefault="00714577" w:rsidP="00721F0B">
      <w:pPr>
        <w:spacing w:after="200" w:line="276" w:lineRule="auto"/>
        <w:rPr>
          <w:rFonts w:asciiTheme="minorHAnsi" w:eastAsiaTheme="minorHAnsi" w:hAnsiTheme="minorHAnsi" w:cstheme="minorBidi"/>
          <w:b/>
          <w:sz w:val="22"/>
          <w:szCs w:val="22"/>
          <w:lang w:val="es-MX" w:eastAsia="en-US"/>
        </w:rPr>
      </w:pPr>
    </w:p>
    <w:p w14:paraId="523E1797" w14:textId="331BD47F" w:rsidR="00714577" w:rsidRDefault="00714577" w:rsidP="00721F0B">
      <w:pPr>
        <w:spacing w:after="200" w:line="276" w:lineRule="auto"/>
        <w:rPr>
          <w:rFonts w:asciiTheme="minorHAnsi" w:eastAsiaTheme="minorHAnsi" w:hAnsiTheme="minorHAnsi" w:cstheme="minorBidi"/>
          <w:b/>
          <w:sz w:val="22"/>
          <w:szCs w:val="22"/>
          <w:lang w:val="es-MX" w:eastAsia="en-US"/>
        </w:rPr>
      </w:pPr>
    </w:p>
    <w:p w14:paraId="4DB3E168" w14:textId="08DB2162" w:rsidR="00714577" w:rsidRDefault="00714577" w:rsidP="00721F0B">
      <w:pPr>
        <w:spacing w:after="200" w:line="276" w:lineRule="auto"/>
        <w:rPr>
          <w:rFonts w:asciiTheme="minorHAnsi" w:eastAsiaTheme="minorHAnsi" w:hAnsiTheme="minorHAnsi" w:cstheme="minorBidi"/>
          <w:b/>
          <w:sz w:val="22"/>
          <w:szCs w:val="22"/>
          <w:lang w:val="es-MX" w:eastAsia="en-US"/>
        </w:rPr>
      </w:pPr>
    </w:p>
    <w:p w14:paraId="599C74D5" w14:textId="623AED1D" w:rsidR="00714577" w:rsidRDefault="00714577" w:rsidP="00721F0B">
      <w:pPr>
        <w:spacing w:after="200" w:line="276" w:lineRule="auto"/>
        <w:rPr>
          <w:rFonts w:asciiTheme="minorHAnsi" w:eastAsiaTheme="minorHAnsi" w:hAnsiTheme="minorHAnsi" w:cstheme="minorBidi"/>
          <w:b/>
          <w:sz w:val="22"/>
          <w:szCs w:val="22"/>
          <w:lang w:val="es-MX" w:eastAsia="en-US"/>
        </w:rPr>
      </w:pPr>
    </w:p>
    <w:p w14:paraId="09A7544B" w14:textId="73598427" w:rsidR="00714577" w:rsidRDefault="00714577" w:rsidP="00721F0B">
      <w:pPr>
        <w:spacing w:after="200" w:line="276" w:lineRule="auto"/>
        <w:rPr>
          <w:rFonts w:asciiTheme="minorHAnsi" w:eastAsiaTheme="minorHAnsi" w:hAnsiTheme="minorHAnsi" w:cstheme="minorBidi"/>
          <w:b/>
          <w:sz w:val="22"/>
          <w:szCs w:val="22"/>
          <w:lang w:val="es-MX" w:eastAsia="en-US"/>
        </w:rPr>
      </w:pPr>
    </w:p>
    <w:p w14:paraId="4C2FD43D" w14:textId="77777777" w:rsidR="00714577" w:rsidRPr="00721F0B" w:rsidRDefault="00714577" w:rsidP="00721F0B">
      <w:pPr>
        <w:spacing w:after="200" w:line="276" w:lineRule="auto"/>
        <w:rPr>
          <w:rFonts w:asciiTheme="minorHAnsi" w:eastAsiaTheme="minorHAnsi" w:hAnsiTheme="minorHAnsi" w:cstheme="minorBidi"/>
          <w:b/>
          <w:sz w:val="22"/>
          <w:szCs w:val="22"/>
          <w:lang w:val="es-MX" w:eastAsia="en-US"/>
        </w:rPr>
      </w:pPr>
    </w:p>
    <w:p w14:paraId="410A2ECD"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Reporte Analítico del Activo</w:t>
      </w:r>
    </w:p>
    <w:p w14:paraId="3EB2441E" w14:textId="77777777" w:rsidR="00721F0B" w:rsidRPr="00721F0B" w:rsidRDefault="00721F0B" w:rsidP="00721F0B">
      <w:pPr>
        <w:spacing w:after="200" w:line="276" w:lineRule="auto"/>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Principales variaciones en el activo, en inversiones en valores y patrimonio, como sigue:</w:t>
      </w:r>
    </w:p>
    <w:p w14:paraId="57EBFDFA" w14:textId="7A127C14" w:rsidR="00721F0B" w:rsidRPr="00721F0B" w:rsidRDefault="00714577" w:rsidP="00721F0B">
      <w:pPr>
        <w:spacing w:after="200" w:line="276" w:lineRule="auto"/>
        <w:jc w:val="center"/>
        <w:rPr>
          <w:rFonts w:asciiTheme="minorHAnsi" w:eastAsiaTheme="minorHAnsi" w:hAnsiTheme="minorHAnsi" w:cstheme="minorBidi"/>
          <w:sz w:val="22"/>
          <w:szCs w:val="22"/>
          <w:lang w:val="es-MX" w:eastAsia="en-US"/>
        </w:rPr>
      </w:pPr>
      <w:r w:rsidRPr="00714577">
        <w:rPr>
          <w:rFonts w:eastAsiaTheme="minorHAnsi"/>
          <w:noProof/>
        </w:rPr>
        <w:drawing>
          <wp:inline distT="0" distB="0" distL="0" distR="0" wp14:anchorId="58DFF4DA" wp14:editId="5CE021E6">
            <wp:extent cx="8690610" cy="3272790"/>
            <wp:effectExtent l="0" t="0" r="0" b="381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0610" cy="3272790"/>
                    </a:xfrm>
                    <a:prstGeom prst="rect">
                      <a:avLst/>
                    </a:prstGeom>
                    <a:noFill/>
                    <a:ln>
                      <a:noFill/>
                    </a:ln>
                  </pic:spPr>
                </pic:pic>
              </a:graphicData>
            </a:graphic>
          </wp:inline>
        </w:drawing>
      </w:r>
    </w:p>
    <w:p w14:paraId="137B39D0" w14:textId="1D81578A" w:rsidR="00721F0B" w:rsidRPr="00721F0B" w:rsidRDefault="00714577" w:rsidP="00714577">
      <w:pPr>
        <w:tabs>
          <w:tab w:val="left" w:pos="12570"/>
        </w:tabs>
        <w:spacing w:after="200" w:line="276" w:lineRule="auto"/>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ab/>
      </w:r>
    </w:p>
    <w:p w14:paraId="796599CE" w14:textId="77777777" w:rsidR="00721F0B" w:rsidRPr="00721F0B" w:rsidRDefault="00721F0B" w:rsidP="00721F0B">
      <w:pPr>
        <w:spacing w:after="200" w:line="276" w:lineRule="auto"/>
        <w:jc w:val="center"/>
        <w:rPr>
          <w:rFonts w:asciiTheme="minorHAnsi" w:eastAsiaTheme="minorHAnsi" w:hAnsiTheme="minorHAnsi" w:cstheme="minorBidi"/>
          <w:sz w:val="22"/>
          <w:szCs w:val="22"/>
          <w:lang w:val="es-MX" w:eastAsia="en-US"/>
        </w:rPr>
      </w:pPr>
    </w:p>
    <w:p w14:paraId="49CA6B59" w14:textId="77777777" w:rsidR="00721F0B" w:rsidRPr="00721F0B" w:rsidRDefault="00721F0B" w:rsidP="00721F0B">
      <w:pPr>
        <w:spacing w:after="200" w:line="276" w:lineRule="auto"/>
        <w:jc w:val="center"/>
        <w:rPr>
          <w:rFonts w:asciiTheme="minorHAnsi" w:eastAsiaTheme="minorHAnsi" w:hAnsiTheme="minorHAnsi" w:cstheme="minorBidi"/>
          <w:sz w:val="22"/>
          <w:szCs w:val="22"/>
          <w:lang w:val="es-MX" w:eastAsia="en-US"/>
        </w:rPr>
      </w:pPr>
    </w:p>
    <w:p w14:paraId="75850461" w14:textId="77777777" w:rsidR="00721F0B" w:rsidRPr="00721F0B" w:rsidRDefault="00721F0B" w:rsidP="00721F0B">
      <w:pPr>
        <w:spacing w:after="200" w:line="276" w:lineRule="auto"/>
        <w:rPr>
          <w:rFonts w:asciiTheme="minorHAnsi" w:eastAsiaTheme="minorHAnsi" w:hAnsiTheme="minorHAnsi" w:cstheme="minorBidi"/>
          <w:sz w:val="22"/>
          <w:szCs w:val="22"/>
          <w:lang w:val="es-MX" w:eastAsia="en-US"/>
        </w:rPr>
      </w:pPr>
    </w:p>
    <w:p w14:paraId="0B05EF48" w14:textId="77777777" w:rsidR="00721F0B" w:rsidRPr="00721F0B" w:rsidRDefault="00721F0B" w:rsidP="00721F0B">
      <w:pPr>
        <w:spacing w:after="200" w:line="276" w:lineRule="auto"/>
        <w:rPr>
          <w:rFonts w:asciiTheme="minorHAnsi" w:eastAsiaTheme="minorHAnsi" w:hAnsiTheme="minorHAnsi" w:cstheme="minorBidi"/>
          <w:b/>
          <w:sz w:val="22"/>
          <w:szCs w:val="22"/>
          <w:lang w:val="es-MX" w:eastAsia="en-US"/>
        </w:rPr>
      </w:pPr>
    </w:p>
    <w:p w14:paraId="7DB96250" w14:textId="77777777" w:rsidR="00721F0B" w:rsidRPr="00721F0B" w:rsidRDefault="00721F0B" w:rsidP="00721F0B">
      <w:pPr>
        <w:spacing w:after="200" w:line="276" w:lineRule="auto"/>
        <w:jc w:val="center"/>
        <w:rPr>
          <w:rFonts w:asciiTheme="minorHAnsi" w:eastAsiaTheme="minorHAnsi" w:hAnsiTheme="minorHAnsi" w:cstheme="minorBidi"/>
          <w:b/>
          <w:sz w:val="22"/>
          <w:szCs w:val="22"/>
          <w:lang w:val="es-MX" w:eastAsia="en-US"/>
        </w:rPr>
      </w:pPr>
      <w:r w:rsidRPr="00721F0B">
        <w:rPr>
          <w:rFonts w:asciiTheme="minorHAnsi" w:eastAsiaTheme="minorHAnsi" w:hAnsiTheme="minorHAnsi" w:cstheme="minorBidi"/>
          <w:b/>
          <w:sz w:val="22"/>
          <w:szCs w:val="22"/>
          <w:lang w:val="es-MX" w:eastAsia="en-US"/>
        </w:rPr>
        <w:t>Responsabilidad sobre la presentación razonable de los Estados Financieros</w:t>
      </w:r>
    </w:p>
    <w:p w14:paraId="4BFD8A01"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58A4146A" w14:textId="4BEDDF88"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sz w:val="22"/>
          <w:szCs w:val="22"/>
          <w:lang w:val="es-MX" w:eastAsia="en-US"/>
        </w:rPr>
        <w:t xml:space="preserve"> Los Estados Financieros deberán estar rubricados en cada página de los mismos e incluir al final la siguiente leyenda: </w:t>
      </w:r>
      <w:r w:rsidR="00714577" w:rsidRPr="00714577">
        <w:rPr>
          <w:rFonts w:asciiTheme="minorHAnsi" w:eastAsiaTheme="minorHAnsi" w:hAnsiTheme="minorHAnsi" w:cstheme="minorBidi"/>
          <w:sz w:val="22"/>
          <w:szCs w:val="22"/>
          <w:lang w:val="es-MX" w:eastAsia="en-US"/>
        </w:rPr>
        <w:t>“Bajo protesta de decir verdad declaramos que los Estados Financieros y sus notas, son razonablemente correctos y son responsabilidad del emisor”.</w:t>
      </w:r>
    </w:p>
    <w:p w14:paraId="29B00E5C"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6223AFD1" w14:textId="77777777" w:rsidR="00721F0B" w:rsidRPr="00721F0B" w:rsidRDefault="00721F0B" w:rsidP="00721F0B">
      <w:pPr>
        <w:spacing w:after="200" w:line="276" w:lineRule="auto"/>
        <w:jc w:val="both"/>
        <w:rPr>
          <w:rFonts w:asciiTheme="minorHAnsi" w:eastAsiaTheme="minorHAnsi" w:hAnsiTheme="minorHAnsi" w:cstheme="minorBidi"/>
          <w:sz w:val="22"/>
          <w:szCs w:val="22"/>
          <w:lang w:val="es-MX" w:eastAsia="en-US"/>
        </w:rPr>
      </w:pPr>
    </w:p>
    <w:p w14:paraId="0E1CE14F" w14:textId="77777777" w:rsidR="00721F0B" w:rsidRPr="00721F0B" w:rsidRDefault="00721F0B" w:rsidP="00721F0B">
      <w:pPr>
        <w:spacing w:after="200" w:line="276" w:lineRule="auto"/>
        <w:jc w:val="center"/>
        <w:rPr>
          <w:rFonts w:asciiTheme="minorHAnsi" w:eastAsiaTheme="minorHAnsi" w:hAnsiTheme="minorHAnsi" w:cstheme="minorBidi"/>
          <w:sz w:val="22"/>
          <w:szCs w:val="22"/>
          <w:lang w:val="es-MX" w:eastAsia="en-US"/>
        </w:rPr>
      </w:pPr>
      <w:r w:rsidRPr="00721F0B">
        <w:rPr>
          <w:rFonts w:asciiTheme="minorHAnsi" w:eastAsiaTheme="minorHAnsi" w:hAnsiTheme="minorHAnsi" w:cstheme="minorBidi"/>
          <w:noProof/>
          <w:sz w:val="22"/>
          <w:szCs w:val="22"/>
          <w:lang w:val="es-MX" w:eastAsia="es-MX"/>
        </w:rPr>
        <w:drawing>
          <wp:anchor distT="0" distB="0" distL="114300" distR="114300" simplePos="0" relativeHeight="251660288" behindDoc="0" locked="0" layoutInCell="1" allowOverlap="1" wp14:anchorId="576EFC53" wp14:editId="5EDFA274">
            <wp:simplePos x="0" y="0"/>
            <wp:positionH relativeFrom="column">
              <wp:posOffset>-95174</wp:posOffset>
            </wp:positionH>
            <wp:positionV relativeFrom="paragraph">
              <wp:posOffset>117638</wp:posOffset>
            </wp:positionV>
            <wp:extent cx="8434315" cy="269971"/>
            <wp:effectExtent l="0" t="0" r="5080" b="0"/>
            <wp:wrapNone/>
            <wp:docPr id="47" name="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34315" cy="269971"/>
                    </a:xfrm>
                    <a:prstGeom prst="rect">
                      <a:avLst/>
                    </a:prstGeom>
                    <a:noFill/>
                  </pic:spPr>
                </pic:pic>
              </a:graphicData>
            </a:graphic>
            <wp14:sizeRelH relativeFrom="page">
              <wp14:pctWidth>0</wp14:pctWidth>
            </wp14:sizeRelH>
            <wp14:sizeRelV relativeFrom="page">
              <wp14:pctHeight>0</wp14:pctHeight>
            </wp14:sizeRelV>
          </wp:anchor>
        </w:drawing>
      </w:r>
    </w:p>
    <w:p w14:paraId="7E0D6434" w14:textId="62CA1D38" w:rsidR="00786CFE" w:rsidRPr="00721F0B" w:rsidRDefault="00786CFE" w:rsidP="00705318">
      <w:pPr>
        <w:jc w:val="right"/>
        <w:rPr>
          <w:rFonts w:ascii="Arial" w:hAnsi="Arial" w:cs="Arial"/>
          <w:sz w:val="20"/>
          <w:szCs w:val="20"/>
          <w:lang w:val="es-MX"/>
        </w:rPr>
      </w:pPr>
    </w:p>
    <w:p w14:paraId="7ECFD0C5" w14:textId="79A25FD3" w:rsidR="00786CFE" w:rsidRDefault="00786CFE" w:rsidP="00721F0B">
      <w:pPr>
        <w:tabs>
          <w:tab w:val="left" w:pos="1590"/>
        </w:tabs>
        <w:rPr>
          <w:rFonts w:ascii="Arial" w:hAnsi="Arial" w:cs="Arial"/>
          <w:sz w:val="20"/>
          <w:szCs w:val="20"/>
        </w:rPr>
      </w:pPr>
    </w:p>
    <w:p w14:paraId="774B95EE" w14:textId="29C3B137" w:rsidR="00786CFE" w:rsidRDefault="00786CFE" w:rsidP="00705318">
      <w:pPr>
        <w:jc w:val="right"/>
        <w:rPr>
          <w:rFonts w:ascii="Arial" w:hAnsi="Arial" w:cs="Arial"/>
          <w:sz w:val="20"/>
          <w:szCs w:val="20"/>
        </w:rPr>
      </w:pPr>
    </w:p>
    <w:p w14:paraId="5372583B" w14:textId="64AFB3B0" w:rsidR="00786CFE" w:rsidRDefault="00786CFE" w:rsidP="00705318">
      <w:pPr>
        <w:jc w:val="right"/>
        <w:rPr>
          <w:rFonts w:ascii="Arial" w:hAnsi="Arial" w:cs="Arial"/>
          <w:sz w:val="20"/>
          <w:szCs w:val="20"/>
        </w:rPr>
      </w:pPr>
    </w:p>
    <w:p w14:paraId="438D4220" w14:textId="1D2EA1A4" w:rsidR="00786CFE" w:rsidRDefault="00786CFE" w:rsidP="00705318">
      <w:pPr>
        <w:jc w:val="right"/>
        <w:rPr>
          <w:rFonts w:ascii="Arial" w:hAnsi="Arial" w:cs="Arial"/>
          <w:sz w:val="20"/>
          <w:szCs w:val="20"/>
        </w:rPr>
      </w:pPr>
    </w:p>
    <w:p w14:paraId="20FBC627" w14:textId="75ED9B22" w:rsidR="00786CFE" w:rsidRDefault="00786CFE" w:rsidP="00705318">
      <w:pPr>
        <w:jc w:val="right"/>
        <w:rPr>
          <w:rFonts w:ascii="Arial" w:hAnsi="Arial" w:cs="Arial"/>
          <w:sz w:val="20"/>
          <w:szCs w:val="20"/>
        </w:rPr>
      </w:pPr>
    </w:p>
    <w:p w14:paraId="013DC7AB" w14:textId="6495B757" w:rsidR="00561EE0" w:rsidRDefault="00111A3E" w:rsidP="00111A3E">
      <w:pPr>
        <w:tabs>
          <w:tab w:val="left" w:pos="8020"/>
        </w:tabs>
        <w:rPr>
          <w:rFonts w:ascii="Arial" w:hAnsi="Arial" w:cs="Arial"/>
          <w:sz w:val="20"/>
          <w:szCs w:val="20"/>
        </w:rPr>
      </w:pPr>
      <w:r>
        <w:rPr>
          <w:rFonts w:ascii="Arial" w:hAnsi="Arial" w:cs="Arial"/>
          <w:sz w:val="20"/>
          <w:szCs w:val="20"/>
        </w:rPr>
        <w:tab/>
      </w:r>
    </w:p>
    <w:sectPr w:rsidR="00561EE0" w:rsidSect="00111A3E">
      <w:headerReference w:type="even" r:id="rId11"/>
      <w:headerReference w:type="default" r:id="rId12"/>
      <w:footerReference w:type="even" r:id="rId13"/>
      <w:footerReference w:type="default" r:id="rId14"/>
      <w:pgSz w:w="15840" w:h="12240" w:orient="landscape"/>
      <w:pgMar w:top="1531" w:right="1077" w:bottom="1077" w:left="107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E89F" w14:textId="77777777" w:rsidR="00A337B6" w:rsidRDefault="00A337B6" w:rsidP="00EA5418">
      <w:r>
        <w:separator/>
      </w:r>
    </w:p>
  </w:endnote>
  <w:endnote w:type="continuationSeparator" w:id="0">
    <w:p w14:paraId="265C62F1" w14:textId="77777777" w:rsidR="00A337B6" w:rsidRDefault="00A337B6"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48BC" w14:textId="77777777" w:rsidR="00C2252C" w:rsidRPr="001E3B9D" w:rsidRDefault="002177CB"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553E1ED" wp14:editId="7E0EF877">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0EF8AA8"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579b8 [3044]" strokeweight="1.5pt"/>
          </w:pict>
        </mc:Fallback>
      </mc:AlternateContent>
    </w:r>
    <w:r w:rsidR="00EE14F0">
      <w:rPr>
        <w:rFonts w:ascii="Arial" w:hAnsi="Arial" w:cs="Arial"/>
        <w:color w:val="808080" w:themeColor="background1" w:themeShade="80"/>
        <w:sz w:val="20"/>
        <w:szCs w:val="20"/>
      </w:rPr>
      <w:t>Información Financiera</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417817"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417817" w:rsidRPr="001E3B9D">
          <w:rPr>
            <w:rFonts w:ascii="Arial" w:hAnsi="Arial" w:cs="Arial"/>
            <w:color w:val="808080" w:themeColor="background1" w:themeShade="80"/>
            <w:sz w:val="20"/>
            <w:szCs w:val="20"/>
          </w:rPr>
          <w:fldChar w:fldCharType="separate"/>
        </w:r>
        <w:r w:rsidR="001814E1">
          <w:rPr>
            <w:rFonts w:ascii="Arial" w:hAnsi="Arial" w:cs="Arial"/>
            <w:noProof/>
            <w:color w:val="808080" w:themeColor="background1" w:themeShade="80"/>
            <w:sz w:val="20"/>
            <w:szCs w:val="20"/>
          </w:rPr>
          <w:t>6</w:t>
        </w:r>
        <w:r w:rsidR="00417817"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9BE0" w14:textId="5FB06B6A" w:rsidR="00111A3E" w:rsidRDefault="00111A3E">
    <w:pPr>
      <w:pStyle w:val="Piedepgina"/>
      <w:jc w:val="center"/>
    </w:pPr>
    <w:r>
      <w:t xml:space="preserve">Página </w:t>
    </w:r>
    <w:sdt>
      <w:sdtPr>
        <w:id w:val="-1136415172"/>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06385064" w14:textId="0CC30872" w:rsidR="00C2252C" w:rsidRPr="00584484" w:rsidRDefault="00C2252C" w:rsidP="008E3652">
    <w:pPr>
      <w:pStyle w:val="Piedepgina"/>
      <w:jc w:val="center"/>
      <w:rPr>
        <w:rFonts w:ascii="Arial" w:hAnsi="Arial" w:cs="Arial"/>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241C" w14:textId="77777777" w:rsidR="00A337B6" w:rsidRDefault="00A337B6" w:rsidP="00EA5418">
      <w:r>
        <w:separator/>
      </w:r>
    </w:p>
  </w:footnote>
  <w:footnote w:type="continuationSeparator" w:id="0">
    <w:p w14:paraId="6D6322C8" w14:textId="77777777" w:rsidR="00A337B6" w:rsidRDefault="00A337B6" w:rsidP="00EA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C3683" w14:textId="77777777" w:rsidR="00C2252C" w:rsidRDefault="000B489A" w:rsidP="000B489A">
    <w:pPr>
      <w:pStyle w:val="Encabezado"/>
      <w:tabs>
        <w:tab w:val="clear" w:pos="4419"/>
        <w:tab w:val="clear" w:pos="8838"/>
        <w:tab w:val="left" w:pos="6804"/>
        <w:tab w:val="left" w:pos="7961"/>
      </w:tabs>
    </w:pPr>
    <w:r w:rsidRPr="000B489A">
      <w:rPr>
        <w:noProof/>
        <w:lang w:val="es-MX" w:eastAsia="es-MX"/>
      </w:rPr>
      <mc:AlternateContent>
        <mc:Choice Requires="wps">
          <w:drawing>
            <wp:anchor distT="0" distB="0" distL="114300" distR="114300" simplePos="0" relativeHeight="251677696" behindDoc="0" locked="0" layoutInCell="1" allowOverlap="1" wp14:anchorId="28AB82A8" wp14:editId="56C02C30">
              <wp:simplePos x="0" y="0"/>
              <wp:positionH relativeFrom="column">
                <wp:posOffset>4307205</wp:posOffset>
              </wp:positionH>
              <wp:positionV relativeFrom="paragraph">
                <wp:posOffset>-245745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FE3EB" w14:textId="77777777" w:rsidR="000B489A" w:rsidRPr="002904C4" w:rsidRDefault="000B489A" w:rsidP="000B489A">
                          <w:pPr>
                            <w:jc w:val="both"/>
                            <w:rPr>
                              <w:rFonts w:ascii="Arial" w:hAnsi="Arial" w:cs="Arial"/>
                              <w:color w:val="808080" w:themeColor="background1" w:themeShade="80"/>
                              <w:sz w:val="32"/>
                              <w:szCs w:val="32"/>
                              <w:lang w:val="es-MX"/>
                            </w:rPr>
                          </w:pPr>
                          <w:r>
                            <w:rPr>
                              <w:rFonts w:ascii="Arial" w:hAnsi="Arial" w:cs="Arial"/>
                              <w:color w:val="808080" w:themeColor="background1" w:themeShade="80"/>
                              <w:sz w:val="32"/>
                              <w:szCs w:val="32"/>
                              <w:lang w:val="es-MX"/>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B82A8" id="_x0000_t202" coordsize="21600,21600" o:spt="202" path="m,l,21600r21600,l21600,xe">
              <v:stroke joinstyle="miter"/>
              <v:path gradientshapeok="t" o:connecttype="rect"/>
            </v:shapetype>
            <v:shape id="Cuadro de texto 18" o:spid="_x0000_s1026" type="#_x0000_t202" style="position:absolute;margin-left:339.15pt;margin-top:-19.35pt;width:66.05pt;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" stroked="f">
              <v:textbox>
                <w:txbxContent>
                  <w:p w14:paraId="365FE3EB" w14:textId="77777777" w:rsidR="000B489A" w:rsidRPr="002904C4" w:rsidRDefault="000B489A" w:rsidP="000B489A">
                    <w:pPr>
                      <w:jc w:val="both"/>
                      <w:rPr>
                        <w:rFonts w:ascii="Arial" w:hAnsi="Arial" w:cs="Arial"/>
                        <w:color w:val="808080" w:themeColor="background1" w:themeShade="80"/>
                        <w:sz w:val="32"/>
                        <w:szCs w:val="32"/>
                        <w:lang w:val="es-MX"/>
                      </w:rPr>
                    </w:pPr>
                    <w:r>
                      <w:rPr>
                        <w:rFonts w:ascii="Arial" w:hAnsi="Arial" w:cs="Arial"/>
                        <w:color w:val="808080" w:themeColor="background1" w:themeShade="80"/>
                        <w:sz w:val="32"/>
                        <w:szCs w:val="32"/>
                        <w:lang w:val="es-MX"/>
                      </w:rPr>
                      <w:t>2019</w:t>
                    </w:r>
                  </w:p>
                </w:txbxContent>
              </v:textbox>
            </v:shape>
          </w:pict>
        </mc:Fallback>
      </mc:AlternateContent>
    </w:r>
    <w:r w:rsidRPr="000B489A">
      <w:rPr>
        <w:noProof/>
        <w:lang w:val="es-MX" w:eastAsia="es-MX"/>
      </w:rPr>
      <mc:AlternateContent>
        <mc:Choice Requires="wps">
          <w:drawing>
            <wp:anchor distT="0" distB="0" distL="114300" distR="114300" simplePos="0" relativeHeight="251678720" behindDoc="0" locked="0" layoutInCell="1" allowOverlap="1" wp14:anchorId="256C2061" wp14:editId="4022F524">
              <wp:simplePos x="0" y="0"/>
              <wp:positionH relativeFrom="column">
                <wp:posOffset>1591310</wp:posOffset>
              </wp:positionH>
              <wp:positionV relativeFrom="paragraph">
                <wp:posOffset>-287020</wp:posOffset>
              </wp:positionV>
              <wp:extent cx="2767330" cy="398780"/>
              <wp:effectExtent l="0" t="0" r="0" b="127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B005C" w14:textId="77777777" w:rsidR="000B489A" w:rsidRDefault="000B489A" w:rsidP="000B489A">
                          <w:pPr>
                            <w:jc w:val="right"/>
                            <w:rPr>
                              <w:rFonts w:ascii="Arial" w:hAnsi="Arial" w:cs="Arial"/>
                              <w:color w:val="808080" w:themeColor="background1" w:themeShade="80"/>
                              <w:sz w:val="20"/>
                              <w:szCs w:val="20"/>
                              <w:lang w:val="es-MX"/>
                            </w:rPr>
                          </w:pPr>
                          <w:r>
                            <w:rPr>
                              <w:rFonts w:ascii="Arial" w:hAnsi="Arial" w:cs="Arial"/>
                              <w:color w:val="808080" w:themeColor="background1" w:themeShade="80"/>
                              <w:sz w:val="20"/>
                              <w:szCs w:val="20"/>
                              <w:lang w:val="es-MX"/>
                            </w:rPr>
                            <w:t>CUENTA</w:t>
                          </w:r>
                        </w:p>
                        <w:p w14:paraId="56A9CD12" w14:textId="77777777" w:rsidR="000B489A" w:rsidRPr="009D62C5" w:rsidRDefault="000B489A" w:rsidP="000B489A">
                          <w:pPr>
                            <w:jc w:val="right"/>
                            <w:rPr>
                              <w:rFonts w:ascii="Arial" w:hAnsi="Arial" w:cs="Arial"/>
                              <w:color w:val="808080" w:themeColor="background1" w:themeShade="80"/>
                              <w:sz w:val="20"/>
                              <w:szCs w:val="20"/>
                              <w:lang w:val="es-MX"/>
                            </w:rPr>
                          </w:pPr>
                          <w:r>
                            <w:rPr>
                              <w:rFonts w:ascii="Arial" w:hAnsi="Arial" w:cs="Arial"/>
                              <w:color w:val="808080" w:themeColor="background1" w:themeShade="80"/>
                              <w:sz w:val="20"/>
                              <w:szCs w:val="20"/>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C2061" id="Cuadro de texto 17" o:spid="_x0000_s1027" type="#_x0000_t202" style="position:absolute;margin-left:125.3pt;margin-top:-22.6pt;width:217.9pt;height:3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" stroked="f">
              <v:textbox>
                <w:txbxContent>
                  <w:p w14:paraId="72DB005C" w14:textId="77777777" w:rsidR="000B489A" w:rsidRDefault="000B489A" w:rsidP="000B489A">
                    <w:pPr>
                      <w:jc w:val="right"/>
                      <w:rPr>
                        <w:rFonts w:ascii="Arial" w:hAnsi="Arial" w:cs="Arial"/>
                        <w:color w:val="808080" w:themeColor="background1" w:themeShade="80"/>
                        <w:sz w:val="20"/>
                        <w:szCs w:val="20"/>
                        <w:lang w:val="es-MX"/>
                      </w:rPr>
                    </w:pPr>
                    <w:r>
                      <w:rPr>
                        <w:rFonts w:ascii="Arial" w:hAnsi="Arial" w:cs="Arial"/>
                        <w:color w:val="808080" w:themeColor="background1" w:themeShade="80"/>
                        <w:sz w:val="20"/>
                        <w:szCs w:val="20"/>
                        <w:lang w:val="es-MX"/>
                      </w:rPr>
                      <w:t>CUENTA</w:t>
                    </w:r>
                  </w:p>
                  <w:p w14:paraId="56A9CD12" w14:textId="77777777" w:rsidR="000B489A" w:rsidRPr="009D62C5" w:rsidRDefault="000B489A" w:rsidP="000B489A">
                    <w:pPr>
                      <w:jc w:val="right"/>
                      <w:rPr>
                        <w:rFonts w:ascii="Arial" w:hAnsi="Arial" w:cs="Arial"/>
                        <w:color w:val="808080" w:themeColor="background1" w:themeShade="80"/>
                        <w:sz w:val="20"/>
                        <w:szCs w:val="20"/>
                        <w:lang w:val="es-MX"/>
                      </w:rPr>
                    </w:pPr>
                    <w:r>
                      <w:rPr>
                        <w:rFonts w:ascii="Arial" w:hAnsi="Arial" w:cs="Arial"/>
                        <w:color w:val="808080" w:themeColor="background1" w:themeShade="80"/>
                        <w:sz w:val="20"/>
                        <w:szCs w:val="20"/>
                        <w:lang w:val="es-MX"/>
                      </w:rPr>
                      <w:t xml:space="preserve"> PÚBLICA</w:t>
                    </w:r>
                  </w:p>
                </w:txbxContent>
              </v:textbox>
            </v:shape>
          </w:pict>
        </mc:Fallback>
      </mc:AlternateContent>
    </w:r>
    <w:r w:rsidR="002177CB">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18233FFF" wp14:editId="1B5ACBEB">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1813B1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B9B6" w14:textId="288E2630" w:rsidR="00C2252C" w:rsidRPr="007D16CA" w:rsidRDefault="00C2252C" w:rsidP="00410C0A">
    <w:pPr>
      <w:pStyle w:val="Encabezado"/>
      <w:jc w:val="center"/>
      <w:rPr>
        <w:rFonts w:ascii="Arial" w:hAnsi="Arial" w:cs="Arial"/>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8EC17C1"/>
    <w:multiLevelType w:val="multilevel"/>
    <w:tmpl w:val="02F85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1C62BB5"/>
    <w:multiLevelType w:val="multilevel"/>
    <w:tmpl w:val="D896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A263BB1"/>
    <w:multiLevelType w:val="hybridMultilevel"/>
    <w:tmpl w:val="3B3AA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5"/>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3241"/>
    <w:rsid w:val="00026D17"/>
    <w:rsid w:val="00031801"/>
    <w:rsid w:val="000355E9"/>
    <w:rsid w:val="00036F0A"/>
    <w:rsid w:val="00040466"/>
    <w:rsid w:val="0004218E"/>
    <w:rsid w:val="0005062F"/>
    <w:rsid w:val="00051ECA"/>
    <w:rsid w:val="00054908"/>
    <w:rsid w:val="00056042"/>
    <w:rsid w:val="00061A86"/>
    <w:rsid w:val="00062DBE"/>
    <w:rsid w:val="0007444B"/>
    <w:rsid w:val="00094277"/>
    <w:rsid w:val="000963D2"/>
    <w:rsid w:val="00097AB0"/>
    <w:rsid w:val="000A4BED"/>
    <w:rsid w:val="000A6167"/>
    <w:rsid w:val="000A669D"/>
    <w:rsid w:val="000B3C7C"/>
    <w:rsid w:val="000B489A"/>
    <w:rsid w:val="000C2B2E"/>
    <w:rsid w:val="000C4654"/>
    <w:rsid w:val="000D5FBB"/>
    <w:rsid w:val="000D612D"/>
    <w:rsid w:val="000E1254"/>
    <w:rsid w:val="000E5608"/>
    <w:rsid w:val="000F22A6"/>
    <w:rsid w:val="000F5D09"/>
    <w:rsid w:val="0010245D"/>
    <w:rsid w:val="00106804"/>
    <w:rsid w:val="00107A57"/>
    <w:rsid w:val="001118C1"/>
    <w:rsid w:val="00111A3E"/>
    <w:rsid w:val="00114238"/>
    <w:rsid w:val="00114DE7"/>
    <w:rsid w:val="00120FC0"/>
    <w:rsid w:val="0012194C"/>
    <w:rsid w:val="00121C91"/>
    <w:rsid w:val="00125A9B"/>
    <w:rsid w:val="00126634"/>
    <w:rsid w:val="0013011C"/>
    <w:rsid w:val="00136010"/>
    <w:rsid w:val="00137B35"/>
    <w:rsid w:val="001423F1"/>
    <w:rsid w:val="001439FE"/>
    <w:rsid w:val="00144F5B"/>
    <w:rsid w:val="00145121"/>
    <w:rsid w:val="00153A59"/>
    <w:rsid w:val="0015606C"/>
    <w:rsid w:val="00161F91"/>
    <w:rsid w:val="001646D9"/>
    <w:rsid w:val="00165757"/>
    <w:rsid w:val="00165BF7"/>
    <w:rsid w:val="00174A37"/>
    <w:rsid w:val="001814E1"/>
    <w:rsid w:val="00184B82"/>
    <w:rsid w:val="001853A4"/>
    <w:rsid w:val="001908EA"/>
    <w:rsid w:val="001A05C7"/>
    <w:rsid w:val="001A6FC3"/>
    <w:rsid w:val="001B0D37"/>
    <w:rsid w:val="001B0EC5"/>
    <w:rsid w:val="001B1B72"/>
    <w:rsid w:val="001B262F"/>
    <w:rsid w:val="001B71C9"/>
    <w:rsid w:val="001B7806"/>
    <w:rsid w:val="001C0F11"/>
    <w:rsid w:val="001C5386"/>
    <w:rsid w:val="001D0B43"/>
    <w:rsid w:val="001D36FA"/>
    <w:rsid w:val="001D77CF"/>
    <w:rsid w:val="001E00C6"/>
    <w:rsid w:val="001E0675"/>
    <w:rsid w:val="001E3B9D"/>
    <w:rsid w:val="001E7F9E"/>
    <w:rsid w:val="001F620C"/>
    <w:rsid w:val="00201611"/>
    <w:rsid w:val="002043BD"/>
    <w:rsid w:val="0020643A"/>
    <w:rsid w:val="002073FD"/>
    <w:rsid w:val="00215CC6"/>
    <w:rsid w:val="002177CB"/>
    <w:rsid w:val="00217EA0"/>
    <w:rsid w:val="00227E0F"/>
    <w:rsid w:val="00246794"/>
    <w:rsid w:val="002530B9"/>
    <w:rsid w:val="0025714C"/>
    <w:rsid w:val="0026216E"/>
    <w:rsid w:val="00262E4D"/>
    <w:rsid w:val="0026420C"/>
    <w:rsid w:val="0026488C"/>
    <w:rsid w:val="00266491"/>
    <w:rsid w:val="00284168"/>
    <w:rsid w:val="002864BC"/>
    <w:rsid w:val="0028780C"/>
    <w:rsid w:val="00287FF9"/>
    <w:rsid w:val="002906E8"/>
    <w:rsid w:val="00293A60"/>
    <w:rsid w:val="002A70B3"/>
    <w:rsid w:val="002B5E17"/>
    <w:rsid w:val="002B6BA9"/>
    <w:rsid w:val="002D2737"/>
    <w:rsid w:val="002D7B66"/>
    <w:rsid w:val="002E038A"/>
    <w:rsid w:val="002E3600"/>
    <w:rsid w:val="002E43C9"/>
    <w:rsid w:val="002E7A4E"/>
    <w:rsid w:val="00300A8C"/>
    <w:rsid w:val="00307635"/>
    <w:rsid w:val="003079BC"/>
    <w:rsid w:val="0031392B"/>
    <w:rsid w:val="00313B32"/>
    <w:rsid w:val="0032547C"/>
    <w:rsid w:val="0032782B"/>
    <w:rsid w:val="0033464B"/>
    <w:rsid w:val="003364E9"/>
    <w:rsid w:val="00355821"/>
    <w:rsid w:val="003610E0"/>
    <w:rsid w:val="003702C1"/>
    <w:rsid w:val="00370B66"/>
    <w:rsid w:val="00372F40"/>
    <w:rsid w:val="00375A8C"/>
    <w:rsid w:val="00381099"/>
    <w:rsid w:val="003820CA"/>
    <w:rsid w:val="00394920"/>
    <w:rsid w:val="003A0375"/>
    <w:rsid w:val="003A0EE2"/>
    <w:rsid w:val="003A1276"/>
    <w:rsid w:val="003D0FBA"/>
    <w:rsid w:val="003D5DBF"/>
    <w:rsid w:val="003E7FD0"/>
    <w:rsid w:val="003F0392"/>
    <w:rsid w:val="00410AF3"/>
    <w:rsid w:val="00410C0A"/>
    <w:rsid w:val="0041268A"/>
    <w:rsid w:val="00412705"/>
    <w:rsid w:val="00412EB1"/>
    <w:rsid w:val="00414245"/>
    <w:rsid w:val="00417817"/>
    <w:rsid w:val="00426E16"/>
    <w:rsid w:val="0044253C"/>
    <w:rsid w:val="004427A8"/>
    <w:rsid w:val="00442BD3"/>
    <w:rsid w:val="004437A5"/>
    <w:rsid w:val="00444A3D"/>
    <w:rsid w:val="00462F48"/>
    <w:rsid w:val="0046612F"/>
    <w:rsid w:val="00467610"/>
    <w:rsid w:val="0047223C"/>
    <w:rsid w:val="00472597"/>
    <w:rsid w:val="00473EA6"/>
    <w:rsid w:val="00481BB6"/>
    <w:rsid w:val="00486AE1"/>
    <w:rsid w:val="004915D1"/>
    <w:rsid w:val="00491EDD"/>
    <w:rsid w:val="004939F2"/>
    <w:rsid w:val="00493FA8"/>
    <w:rsid w:val="00495751"/>
    <w:rsid w:val="00497D8B"/>
    <w:rsid w:val="004B01D6"/>
    <w:rsid w:val="004B284E"/>
    <w:rsid w:val="004B5E75"/>
    <w:rsid w:val="004B6537"/>
    <w:rsid w:val="004D41B8"/>
    <w:rsid w:val="004D4F5D"/>
    <w:rsid w:val="004F09C0"/>
    <w:rsid w:val="004F29CC"/>
    <w:rsid w:val="004F498B"/>
    <w:rsid w:val="004F50D8"/>
    <w:rsid w:val="004F6955"/>
    <w:rsid w:val="00502D8E"/>
    <w:rsid w:val="005033CB"/>
    <w:rsid w:val="00506351"/>
    <w:rsid w:val="005117F4"/>
    <w:rsid w:val="00516D35"/>
    <w:rsid w:val="00522632"/>
    <w:rsid w:val="00524746"/>
    <w:rsid w:val="00531310"/>
    <w:rsid w:val="00534982"/>
    <w:rsid w:val="00540418"/>
    <w:rsid w:val="005511A8"/>
    <w:rsid w:val="00561EE0"/>
    <w:rsid w:val="00567E46"/>
    <w:rsid w:val="005706D9"/>
    <w:rsid w:val="00572656"/>
    <w:rsid w:val="00572976"/>
    <w:rsid w:val="00582405"/>
    <w:rsid w:val="00584484"/>
    <w:rsid w:val="005855FA"/>
    <w:rsid w:val="005859FA"/>
    <w:rsid w:val="00596CFC"/>
    <w:rsid w:val="005A371E"/>
    <w:rsid w:val="005B1D10"/>
    <w:rsid w:val="005B6522"/>
    <w:rsid w:val="005D2601"/>
    <w:rsid w:val="005D63B6"/>
    <w:rsid w:val="005F38CB"/>
    <w:rsid w:val="005F54E0"/>
    <w:rsid w:val="006046CA"/>
    <w:rsid w:val="006048D2"/>
    <w:rsid w:val="00611E39"/>
    <w:rsid w:val="006133D2"/>
    <w:rsid w:val="00620E8D"/>
    <w:rsid w:val="00624AF0"/>
    <w:rsid w:val="00633237"/>
    <w:rsid w:val="00636BC8"/>
    <w:rsid w:val="006407C6"/>
    <w:rsid w:val="00640E11"/>
    <w:rsid w:val="006429CD"/>
    <w:rsid w:val="006453C1"/>
    <w:rsid w:val="0065283C"/>
    <w:rsid w:val="00656FD3"/>
    <w:rsid w:val="00661772"/>
    <w:rsid w:val="00662E1A"/>
    <w:rsid w:val="00664EA2"/>
    <w:rsid w:val="00665222"/>
    <w:rsid w:val="006668AF"/>
    <w:rsid w:val="00676D1E"/>
    <w:rsid w:val="006817A5"/>
    <w:rsid w:val="00682DA8"/>
    <w:rsid w:val="00684AF3"/>
    <w:rsid w:val="006A0B2C"/>
    <w:rsid w:val="006A605D"/>
    <w:rsid w:val="006B16E7"/>
    <w:rsid w:val="006B729B"/>
    <w:rsid w:val="006C03CB"/>
    <w:rsid w:val="006C3DC5"/>
    <w:rsid w:val="006C5F52"/>
    <w:rsid w:val="006D350A"/>
    <w:rsid w:val="006D75D6"/>
    <w:rsid w:val="006E0202"/>
    <w:rsid w:val="006E6ABC"/>
    <w:rsid w:val="006E6B8E"/>
    <w:rsid w:val="006E77DD"/>
    <w:rsid w:val="006F6105"/>
    <w:rsid w:val="006F655F"/>
    <w:rsid w:val="00705318"/>
    <w:rsid w:val="00714577"/>
    <w:rsid w:val="007147F1"/>
    <w:rsid w:val="00721F0B"/>
    <w:rsid w:val="00725769"/>
    <w:rsid w:val="00726011"/>
    <w:rsid w:val="007303FB"/>
    <w:rsid w:val="00732C21"/>
    <w:rsid w:val="00735303"/>
    <w:rsid w:val="00735C8C"/>
    <w:rsid w:val="00740458"/>
    <w:rsid w:val="007415E8"/>
    <w:rsid w:val="0074343E"/>
    <w:rsid w:val="007626C3"/>
    <w:rsid w:val="007716F2"/>
    <w:rsid w:val="00772D11"/>
    <w:rsid w:val="00776082"/>
    <w:rsid w:val="007811CB"/>
    <w:rsid w:val="00781278"/>
    <w:rsid w:val="0078139D"/>
    <w:rsid w:val="00786975"/>
    <w:rsid w:val="00786CFE"/>
    <w:rsid w:val="00794F06"/>
    <w:rsid w:val="0079582C"/>
    <w:rsid w:val="007A2E66"/>
    <w:rsid w:val="007A4AC0"/>
    <w:rsid w:val="007A5C35"/>
    <w:rsid w:val="007B1A84"/>
    <w:rsid w:val="007B4655"/>
    <w:rsid w:val="007C33A9"/>
    <w:rsid w:val="007C7CE3"/>
    <w:rsid w:val="007D16CA"/>
    <w:rsid w:val="007D31BE"/>
    <w:rsid w:val="007D6E9A"/>
    <w:rsid w:val="007E7DC3"/>
    <w:rsid w:val="007F2850"/>
    <w:rsid w:val="007F5B63"/>
    <w:rsid w:val="00802567"/>
    <w:rsid w:val="00803F8D"/>
    <w:rsid w:val="008043DB"/>
    <w:rsid w:val="008053A2"/>
    <w:rsid w:val="0080591B"/>
    <w:rsid w:val="00810CE1"/>
    <w:rsid w:val="00811857"/>
    <w:rsid w:val="00813C52"/>
    <w:rsid w:val="00816BF6"/>
    <w:rsid w:val="0083507C"/>
    <w:rsid w:val="00842599"/>
    <w:rsid w:val="00843840"/>
    <w:rsid w:val="008637C1"/>
    <w:rsid w:val="00866DC7"/>
    <w:rsid w:val="008859A1"/>
    <w:rsid w:val="008913A9"/>
    <w:rsid w:val="00893945"/>
    <w:rsid w:val="008976A3"/>
    <w:rsid w:val="008A6E4D"/>
    <w:rsid w:val="008B0017"/>
    <w:rsid w:val="008B6109"/>
    <w:rsid w:val="008D4272"/>
    <w:rsid w:val="008E3652"/>
    <w:rsid w:val="008E38D7"/>
    <w:rsid w:val="008F2BC9"/>
    <w:rsid w:val="008F471B"/>
    <w:rsid w:val="00900209"/>
    <w:rsid w:val="00905558"/>
    <w:rsid w:val="009133A2"/>
    <w:rsid w:val="009206EA"/>
    <w:rsid w:val="0093047D"/>
    <w:rsid w:val="00932E78"/>
    <w:rsid w:val="009478B4"/>
    <w:rsid w:val="00956F64"/>
    <w:rsid w:val="0096474B"/>
    <w:rsid w:val="00970701"/>
    <w:rsid w:val="00976B3A"/>
    <w:rsid w:val="00980ECB"/>
    <w:rsid w:val="00982A1D"/>
    <w:rsid w:val="00984F4C"/>
    <w:rsid w:val="00985404"/>
    <w:rsid w:val="0099048E"/>
    <w:rsid w:val="009909AB"/>
    <w:rsid w:val="00994457"/>
    <w:rsid w:val="009A1108"/>
    <w:rsid w:val="009C1CD1"/>
    <w:rsid w:val="009C47DB"/>
    <w:rsid w:val="009C54BF"/>
    <w:rsid w:val="009C721E"/>
    <w:rsid w:val="009C7BB0"/>
    <w:rsid w:val="009E60D5"/>
    <w:rsid w:val="009F1266"/>
    <w:rsid w:val="00A04974"/>
    <w:rsid w:val="00A0752F"/>
    <w:rsid w:val="00A10E8A"/>
    <w:rsid w:val="00A14B74"/>
    <w:rsid w:val="00A16E67"/>
    <w:rsid w:val="00A24B5C"/>
    <w:rsid w:val="00A25A64"/>
    <w:rsid w:val="00A274CF"/>
    <w:rsid w:val="00A30168"/>
    <w:rsid w:val="00A31BF9"/>
    <w:rsid w:val="00A337B6"/>
    <w:rsid w:val="00A51FB6"/>
    <w:rsid w:val="00A52E01"/>
    <w:rsid w:val="00A711D8"/>
    <w:rsid w:val="00A770CC"/>
    <w:rsid w:val="00A81B34"/>
    <w:rsid w:val="00A83BD1"/>
    <w:rsid w:val="00A85ECC"/>
    <w:rsid w:val="00A911BD"/>
    <w:rsid w:val="00A9198F"/>
    <w:rsid w:val="00A92BF9"/>
    <w:rsid w:val="00AA5F6B"/>
    <w:rsid w:val="00AB13B7"/>
    <w:rsid w:val="00AB1994"/>
    <w:rsid w:val="00AB6104"/>
    <w:rsid w:val="00AB6C5C"/>
    <w:rsid w:val="00AC2BEB"/>
    <w:rsid w:val="00AC47CB"/>
    <w:rsid w:val="00AC5103"/>
    <w:rsid w:val="00AC6BC3"/>
    <w:rsid w:val="00AC7206"/>
    <w:rsid w:val="00AD0E70"/>
    <w:rsid w:val="00AD1576"/>
    <w:rsid w:val="00AD42C4"/>
    <w:rsid w:val="00AD4901"/>
    <w:rsid w:val="00AD7E1C"/>
    <w:rsid w:val="00AE0300"/>
    <w:rsid w:val="00AE0C4F"/>
    <w:rsid w:val="00AE12A3"/>
    <w:rsid w:val="00AE5EA4"/>
    <w:rsid w:val="00AE73BC"/>
    <w:rsid w:val="00AE74C5"/>
    <w:rsid w:val="00AF253A"/>
    <w:rsid w:val="00AF2C80"/>
    <w:rsid w:val="00AF589F"/>
    <w:rsid w:val="00B07C17"/>
    <w:rsid w:val="00B16297"/>
    <w:rsid w:val="00B17423"/>
    <w:rsid w:val="00B21FCF"/>
    <w:rsid w:val="00B326B0"/>
    <w:rsid w:val="00B35A7E"/>
    <w:rsid w:val="00B400BD"/>
    <w:rsid w:val="00B42A02"/>
    <w:rsid w:val="00B42BF0"/>
    <w:rsid w:val="00B45913"/>
    <w:rsid w:val="00B61B23"/>
    <w:rsid w:val="00B65FA7"/>
    <w:rsid w:val="00B72E45"/>
    <w:rsid w:val="00B76771"/>
    <w:rsid w:val="00B849EE"/>
    <w:rsid w:val="00B902CF"/>
    <w:rsid w:val="00B93254"/>
    <w:rsid w:val="00B97D6F"/>
    <w:rsid w:val="00BA5834"/>
    <w:rsid w:val="00BA602C"/>
    <w:rsid w:val="00BB3039"/>
    <w:rsid w:val="00BB6926"/>
    <w:rsid w:val="00BB6BB8"/>
    <w:rsid w:val="00BC11BA"/>
    <w:rsid w:val="00BC16AF"/>
    <w:rsid w:val="00BD1C57"/>
    <w:rsid w:val="00BD5C94"/>
    <w:rsid w:val="00BF7CA4"/>
    <w:rsid w:val="00C1375F"/>
    <w:rsid w:val="00C15B56"/>
    <w:rsid w:val="00C20B56"/>
    <w:rsid w:val="00C2252C"/>
    <w:rsid w:val="00C2262F"/>
    <w:rsid w:val="00C22F80"/>
    <w:rsid w:val="00C269AE"/>
    <w:rsid w:val="00C31117"/>
    <w:rsid w:val="00C32634"/>
    <w:rsid w:val="00C32B96"/>
    <w:rsid w:val="00C41566"/>
    <w:rsid w:val="00C44F01"/>
    <w:rsid w:val="00C55772"/>
    <w:rsid w:val="00C558A9"/>
    <w:rsid w:val="00C56A30"/>
    <w:rsid w:val="00C57B0A"/>
    <w:rsid w:val="00C65D40"/>
    <w:rsid w:val="00C662F3"/>
    <w:rsid w:val="00C73ED8"/>
    <w:rsid w:val="00C80A56"/>
    <w:rsid w:val="00C83BE6"/>
    <w:rsid w:val="00C929C8"/>
    <w:rsid w:val="00C9309B"/>
    <w:rsid w:val="00C95417"/>
    <w:rsid w:val="00CA2D37"/>
    <w:rsid w:val="00CA5468"/>
    <w:rsid w:val="00CB1CEC"/>
    <w:rsid w:val="00CB4256"/>
    <w:rsid w:val="00CB4450"/>
    <w:rsid w:val="00CC2455"/>
    <w:rsid w:val="00CC5CB6"/>
    <w:rsid w:val="00CD7442"/>
    <w:rsid w:val="00CE06A5"/>
    <w:rsid w:val="00CE3A44"/>
    <w:rsid w:val="00CF344F"/>
    <w:rsid w:val="00D04581"/>
    <w:rsid w:val="00D0510A"/>
    <w:rsid w:val="00D055EC"/>
    <w:rsid w:val="00D13436"/>
    <w:rsid w:val="00D136C5"/>
    <w:rsid w:val="00D154BE"/>
    <w:rsid w:val="00D1770E"/>
    <w:rsid w:val="00D22757"/>
    <w:rsid w:val="00D240AD"/>
    <w:rsid w:val="00D31354"/>
    <w:rsid w:val="00D325BD"/>
    <w:rsid w:val="00D325ED"/>
    <w:rsid w:val="00D404ED"/>
    <w:rsid w:val="00D460A3"/>
    <w:rsid w:val="00D4624A"/>
    <w:rsid w:val="00D51261"/>
    <w:rsid w:val="00D71401"/>
    <w:rsid w:val="00D748D3"/>
    <w:rsid w:val="00D752A7"/>
    <w:rsid w:val="00D85498"/>
    <w:rsid w:val="00D91D5D"/>
    <w:rsid w:val="00D94661"/>
    <w:rsid w:val="00DA1718"/>
    <w:rsid w:val="00DA1F12"/>
    <w:rsid w:val="00DA4DF3"/>
    <w:rsid w:val="00DB28CD"/>
    <w:rsid w:val="00DB378D"/>
    <w:rsid w:val="00DB4299"/>
    <w:rsid w:val="00DB450B"/>
    <w:rsid w:val="00DD075D"/>
    <w:rsid w:val="00DD230F"/>
    <w:rsid w:val="00DD2C9D"/>
    <w:rsid w:val="00DD644F"/>
    <w:rsid w:val="00DD7E3C"/>
    <w:rsid w:val="00DF12D0"/>
    <w:rsid w:val="00DF3AD2"/>
    <w:rsid w:val="00DF77EA"/>
    <w:rsid w:val="00E05FFB"/>
    <w:rsid w:val="00E1150D"/>
    <w:rsid w:val="00E11D83"/>
    <w:rsid w:val="00E13FEA"/>
    <w:rsid w:val="00E15B6E"/>
    <w:rsid w:val="00E24C87"/>
    <w:rsid w:val="00E32708"/>
    <w:rsid w:val="00E3623C"/>
    <w:rsid w:val="00E37828"/>
    <w:rsid w:val="00E42847"/>
    <w:rsid w:val="00E622A9"/>
    <w:rsid w:val="00E64A6D"/>
    <w:rsid w:val="00E74945"/>
    <w:rsid w:val="00E87BBE"/>
    <w:rsid w:val="00E9097D"/>
    <w:rsid w:val="00E92490"/>
    <w:rsid w:val="00EA1039"/>
    <w:rsid w:val="00EA3C5D"/>
    <w:rsid w:val="00EA5418"/>
    <w:rsid w:val="00EB0CAB"/>
    <w:rsid w:val="00EB1F1F"/>
    <w:rsid w:val="00EC185F"/>
    <w:rsid w:val="00EC4315"/>
    <w:rsid w:val="00ED08C8"/>
    <w:rsid w:val="00ED7A80"/>
    <w:rsid w:val="00ED7B94"/>
    <w:rsid w:val="00EE10DE"/>
    <w:rsid w:val="00EE14F0"/>
    <w:rsid w:val="00EE1674"/>
    <w:rsid w:val="00EE393F"/>
    <w:rsid w:val="00F00B08"/>
    <w:rsid w:val="00F04A31"/>
    <w:rsid w:val="00F04AA3"/>
    <w:rsid w:val="00F077A8"/>
    <w:rsid w:val="00F07FAF"/>
    <w:rsid w:val="00F17883"/>
    <w:rsid w:val="00F22101"/>
    <w:rsid w:val="00F2569F"/>
    <w:rsid w:val="00F345F1"/>
    <w:rsid w:val="00F37607"/>
    <w:rsid w:val="00F428F5"/>
    <w:rsid w:val="00F545E2"/>
    <w:rsid w:val="00F65B80"/>
    <w:rsid w:val="00F664E4"/>
    <w:rsid w:val="00F743A5"/>
    <w:rsid w:val="00F75E8F"/>
    <w:rsid w:val="00F9018A"/>
    <w:rsid w:val="00F92B59"/>
    <w:rsid w:val="00F94A6A"/>
    <w:rsid w:val="00F96944"/>
    <w:rsid w:val="00FB63B3"/>
    <w:rsid w:val="00FC30C2"/>
    <w:rsid w:val="00FC38BC"/>
    <w:rsid w:val="00FC43EB"/>
    <w:rsid w:val="00FC4656"/>
    <w:rsid w:val="00FD63EF"/>
    <w:rsid w:val="00FD73DF"/>
    <w:rsid w:val="00FD741E"/>
    <w:rsid w:val="00FE4B20"/>
    <w:rsid w:val="00FE671F"/>
    <w:rsid w:val="00FF1EF6"/>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44D7F"/>
  <w15:docId w15:val="{CC5FCDF4-5CE8-4E0A-B135-137A1B86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7189">
      <w:bodyDiv w:val="1"/>
      <w:marLeft w:val="0"/>
      <w:marRight w:val="0"/>
      <w:marTop w:val="0"/>
      <w:marBottom w:val="0"/>
      <w:divBdr>
        <w:top w:val="none" w:sz="0" w:space="0" w:color="auto"/>
        <w:left w:val="none" w:sz="0" w:space="0" w:color="auto"/>
        <w:bottom w:val="none" w:sz="0" w:space="0" w:color="auto"/>
        <w:right w:val="none" w:sz="0" w:space="0" w:color="auto"/>
      </w:divBdr>
    </w:div>
    <w:div w:id="55380865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79744444">
      <w:bodyDiv w:val="1"/>
      <w:marLeft w:val="0"/>
      <w:marRight w:val="0"/>
      <w:marTop w:val="0"/>
      <w:marBottom w:val="0"/>
      <w:divBdr>
        <w:top w:val="none" w:sz="0" w:space="0" w:color="auto"/>
        <w:left w:val="none" w:sz="0" w:space="0" w:color="auto"/>
        <w:bottom w:val="none" w:sz="0" w:space="0" w:color="auto"/>
        <w:right w:val="none" w:sz="0" w:space="0" w:color="auto"/>
      </w:divBdr>
    </w:div>
    <w:div w:id="9565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4F317-F11C-4083-96A3-2B1B8FD7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1482</Words>
  <Characters>8155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Miguel Herrera</cp:lastModifiedBy>
  <cp:revision>3</cp:revision>
  <cp:lastPrinted>2019-10-25T16:02:00Z</cp:lastPrinted>
  <dcterms:created xsi:type="dcterms:W3CDTF">2020-01-20T16:47:00Z</dcterms:created>
  <dcterms:modified xsi:type="dcterms:W3CDTF">2020-01-20T16:50:00Z</dcterms:modified>
</cp:coreProperties>
</file>