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D7" w:rsidRPr="00442E50" w:rsidRDefault="00BD08D7" w:rsidP="00BD08D7">
      <w:pPr>
        <w:jc w:val="center"/>
        <w:rPr>
          <w:rFonts w:ascii="Arial" w:hAnsi="Arial" w:cs="Arial"/>
          <w:b/>
          <w:sz w:val="28"/>
          <w:szCs w:val="28"/>
        </w:rPr>
      </w:pPr>
      <w:r w:rsidRPr="00442E50">
        <w:rPr>
          <w:rFonts w:ascii="Arial" w:hAnsi="Arial" w:cs="Arial"/>
        </w:rPr>
        <w:fldChar w:fldCharType="begin"/>
      </w:r>
      <w:r w:rsidRPr="00442E50">
        <w:rPr>
          <w:rFonts w:ascii="Arial" w:hAnsi="Arial" w:cs="Arial"/>
        </w:rPr>
        <w:instrText xml:space="preserve"> HYPERLINK "file:///C:/Users/acorona/lquiroz/AppData/Local/Microsoft/Windows/Temporary%20Internet%20Files/Content.Outlook/HBGSO9P3/MODELO%20CTA%202013.pptx" </w:instrText>
      </w:r>
      <w:r w:rsidRPr="00442E50">
        <w:rPr>
          <w:rFonts w:ascii="Arial" w:hAnsi="Arial" w:cs="Arial"/>
        </w:rPr>
        <w:fldChar w:fldCharType="separate"/>
      </w:r>
      <w:r w:rsidRPr="00442E50">
        <w:rPr>
          <w:rStyle w:val="Hipervnculo"/>
          <w:rFonts w:ascii="Arial" w:hAnsi="Arial" w:cs="Arial"/>
          <w:b/>
          <w:sz w:val="28"/>
          <w:szCs w:val="28"/>
        </w:rPr>
        <w:t>NOTAS DE GESTIÓN ADMINISTRATIVA</w:t>
      </w:r>
      <w:r w:rsidRPr="00442E50">
        <w:rPr>
          <w:rStyle w:val="Hipervnculo"/>
          <w:rFonts w:ascii="Arial" w:hAnsi="Arial" w:cs="Arial"/>
          <w:b/>
          <w:sz w:val="28"/>
          <w:szCs w:val="28"/>
        </w:rPr>
        <w:fldChar w:fldCharType="end"/>
      </w:r>
    </w:p>
    <w:p w:rsidR="00BD08D7" w:rsidRPr="00442E50" w:rsidRDefault="00BD08D7" w:rsidP="00BD08D7">
      <w:pPr>
        <w:jc w:val="both"/>
        <w:rPr>
          <w:rFonts w:ascii="Arial" w:hAnsi="Arial" w:cs="Arial"/>
        </w:rPr>
      </w:pPr>
    </w:p>
    <w:p w:rsidR="00BD08D7" w:rsidRPr="00442E50" w:rsidRDefault="00BD08D7" w:rsidP="00BD08D7">
      <w:pPr>
        <w:jc w:val="center"/>
        <w:rPr>
          <w:rStyle w:val="Hipervnculo"/>
          <w:rFonts w:ascii="Arial" w:hAnsi="Arial" w:cs="Arial"/>
          <w:b/>
          <w:sz w:val="28"/>
          <w:szCs w:val="28"/>
        </w:rPr>
      </w:pPr>
      <w:r w:rsidRPr="00442E50">
        <w:rPr>
          <w:rStyle w:val="Hipervnculo"/>
          <w:rFonts w:ascii="Arial" w:hAnsi="Arial" w:cs="Arial"/>
          <w:b/>
          <w:sz w:val="28"/>
          <w:szCs w:val="28"/>
        </w:rPr>
        <w:t>AL CUARTO TRIMESTRE DE 2021</w:t>
      </w:r>
    </w:p>
    <w:p w:rsidR="00BD08D7" w:rsidRPr="00442E50" w:rsidRDefault="00BD08D7" w:rsidP="00BD08D7">
      <w:pPr>
        <w:jc w:val="center"/>
        <w:rPr>
          <w:rStyle w:val="Hipervnculo"/>
          <w:rFonts w:ascii="Arial" w:hAnsi="Arial" w:cs="Arial"/>
          <w:b/>
          <w:sz w:val="28"/>
          <w:szCs w:val="28"/>
        </w:rPr>
      </w:pPr>
    </w:p>
    <w:p w:rsidR="00BD08D7" w:rsidRPr="00442E50" w:rsidRDefault="00BD08D7" w:rsidP="00BD08D7">
      <w:pPr>
        <w:jc w:val="both"/>
        <w:rPr>
          <w:rFonts w:ascii="Arial" w:hAnsi="Arial" w:cs="Arial"/>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Los Estados Financieros de los entes públicos, proveen de información financiera a los principales usuarios de la misma, Directivos, Instituciones gubernamentales como la Secretaría de Hacienda y Crédito Público, Secretaría de Salud, Congreso de la Unión, Congreso del Estado y ciudadanía.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El objetivo del presente documento es la revelación del contexto y de los aspectos económicos financieros más representativos que influyeron en las decisiones del periodo, y que deberán ser considerados en la elaboración de los estados financieros para la mayor comprensión de los mismos y sus particularidades.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De esta manera, se informa y explica la respuesta del gobierno a las condiciones relacionadas con la información financiera de cada periodo de gestión; además, de exponer aquellas políticas que podrían afectar la toma de decisiones en periodos posteriores.</w:t>
      </w: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1. Introducción:</w:t>
      </w:r>
    </w:p>
    <w:p w:rsidR="00BD08D7" w:rsidRPr="00442E50" w:rsidRDefault="00BD08D7" w:rsidP="00BD08D7">
      <w:pPr>
        <w:jc w:val="both"/>
        <w:rPr>
          <w:rFonts w:ascii="Arial" w:hAnsi="Arial" w:cs="Arial"/>
          <w:sz w:val="20"/>
          <w:szCs w:val="20"/>
        </w:rPr>
      </w:pPr>
      <w:r w:rsidRPr="00442E50">
        <w:rPr>
          <w:rFonts w:ascii="Arial" w:hAnsi="Arial" w:cs="Arial"/>
          <w:sz w:val="20"/>
          <w:szCs w:val="20"/>
        </w:rPr>
        <w:t>Breve descripción de las actividades principales de la entidad.</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acuerdos emitidos por el gobierno del Estado.</w:t>
      </w:r>
    </w:p>
    <w:p w:rsidR="00BD08D7" w:rsidRPr="00442E50" w:rsidRDefault="00BD08D7" w:rsidP="00BD08D7">
      <w:pPr>
        <w:jc w:val="both"/>
        <w:rPr>
          <w:rFonts w:ascii="Arial" w:hAnsi="Arial" w:cs="Arial"/>
          <w:sz w:val="20"/>
          <w:szCs w:val="20"/>
          <w:u w:val="single"/>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Tiene las siguientes funciones: </w:t>
      </w:r>
    </w:p>
    <w:p w:rsidR="00BD08D7" w:rsidRPr="00442E50" w:rsidRDefault="00BD08D7" w:rsidP="00BD08D7">
      <w:pPr>
        <w:jc w:val="both"/>
        <w:rPr>
          <w:rFonts w:ascii="Arial" w:hAnsi="Arial" w:cs="Arial"/>
          <w:sz w:val="20"/>
          <w:szCs w:val="20"/>
        </w:rPr>
      </w:pPr>
    </w:p>
    <w:p w:rsidR="00BD08D7" w:rsidRPr="00442E50" w:rsidRDefault="00BD08D7" w:rsidP="00BD08D7">
      <w:pPr>
        <w:pStyle w:val="Prrafodelista"/>
        <w:numPr>
          <w:ilvl w:val="0"/>
          <w:numId w:val="1"/>
        </w:numPr>
        <w:jc w:val="both"/>
        <w:rPr>
          <w:rFonts w:ascii="Arial" w:hAnsi="Arial" w:cs="Arial"/>
          <w:sz w:val="20"/>
          <w:szCs w:val="20"/>
        </w:rPr>
      </w:pPr>
      <w:r w:rsidRPr="00442E50">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BD08D7" w:rsidRPr="00442E50" w:rsidRDefault="00BD08D7" w:rsidP="00BD08D7">
      <w:pPr>
        <w:pStyle w:val="Prrafodelista"/>
        <w:numPr>
          <w:ilvl w:val="0"/>
          <w:numId w:val="1"/>
        </w:numPr>
        <w:jc w:val="both"/>
        <w:rPr>
          <w:rFonts w:ascii="Arial" w:hAnsi="Arial" w:cs="Arial"/>
          <w:sz w:val="20"/>
          <w:szCs w:val="20"/>
        </w:rPr>
      </w:pPr>
      <w:r w:rsidRPr="00442E50">
        <w:rPr>
          <w:rFonts w:ascii="Arial" w:hAnsi="Arial" w:cs="Arial"/>
          <w:sz w:val="20"/>
          <w:szCs w:val="20"/>
        </w:rPr>
        <w:t>Apoyar en la organización del Sistema Estatal de Salud, en los términos de las Leyes General y Estatal de Salud;</w:t>
      </w:r>
    </w:p>
    <w:p w:rsidR="00BD08D7" w:rsidRPr="00442E50" w:rsidRDefault="00BD08D7" w:rsidP="00BD08D7">
      <w:pPr>
        <w:pStyle w:val="Prrafodelista"/>
        <w:numPr>
          <w:ilvl w:val="0"/>
          <w:numId w:val="1"/>
        </w:numPr>
        <w:jc w:val="both"/>
        <w:rPr>
          <w:rFonts w:ascii="Arial" w:hAnsi="Arial" w:cs="Arial"/>
          <w:sz w:val="20"/>
          <w:szCs w:val="20"/>
        </w:rPr>
      </w:pPr>
      <w:r w:rsidRPr="00442E50">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BD08D7" w:rsidRPr="00442E50" w:rsidRDefault="00BD08D7" w:rsidP="00BD08D7">
      <w:pPr>
        <w:pStyle w:val="Prrafodelista"/>
        <w:numPr>
          <w:ilvl w:val="0"/>
          <w:numId w:val="1"/>
        </w:numPr>
        <w:jc w:val="both"/>
        <w:rPr>
          <w:rFonts w:ascii="Arial" w:hAnsi="Arial" w:cs="Arial"/>
          <w:sz w:val="20"/>
          <w:szCs w:val="20"/>
        </w:rPr>
      </w:pPr>
      <w:r w:rsidRPr="00442E50">
        <w:rPr>
          <w:rFonts w:ascii="Arial" w:hAnsi="Arial" w:cs="Arial"/>
          <w:sz w:val="20"/>
          <w:szCs w:val="20"/>
        </w:rPr>
        <w:t>Proponer y fortalecer la participación social en los servicios de salud;</w:t>
      </w:r>
    </w:p>
    <w:p w:rsidR="00BD08D7" w:rsidRPr="00442E50" w:rsidRDefault="00BD08D7" w:rsidP="00BD08D7">
      <w:pPr>
        <w:pStyle w:val="Prrafodelista"/>
        <w:numPr>
          <w:ilvl w:val="0"/>
          <w:numId w:val="1"/>
        </w:numPr>
        <w:jc w:val="both"/>
        <w:rPr>
          <w:rFonts w:ascii="Arial" w:hAnsi="Arial" w:cs="Arial"/>
          <w:sz w:val="20"/>
          <w:szCs w:val="20"/>
        </w:rPr>
      </w:pPr>
      <w:r w:rsidRPr="00442E50">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BD08D7" w:rsidRPr="00442E50" w:rsidRDefault="00BD08D7" w:rsidP="00BD08D7">
      <w:pPr>
        <w:pStyle w:val="Prrafodelista"/>
        <w:numPr>
          <w:ilvl w:val="0"/>
          <w:numId w:val="1"/>
        </w:numPr>
        <w:jc w:val="both"/>
        <w:rPr>
          <w:rFonts w:ascii="Arial" w:hAnsi="Arial" w:cs="Arial"/>
          <w:sz w:val="20"/>
          <w:szCs w:val="20"/>
        </w:rPr>
      </w:pPr>
      <w:r w:rsidRPr="00442E50">
        <w:rPr>
          <w:rFonts w:ascii="Arial" w:hAnsi="Arial" w:cs="Arial"/>
          <w:sz w:val="20"/>
          <w:szCs w:val="20"/>
        </w:rPr>
        <w:t>Promover la ampliación de la cobertura en la prestación de los servicios, apoyando los programas que para tal efecto elabore la Secretaría de Salud del Gobierno Federal;</w:t>
      </w:r>
    </w:p>
    <w:p w:rsidR="00BD08D7" w:rsidRPr="00442E50" w:rsidRDefault="00BD08D7" w:rsidP="00BD08D7">
      <w:pPr>
        <w:pStyle w:val="Prrafodelista"/>
        <w:numPr>
          <w:ilvl w:val="0"/>
          <w:numId w:val="1"/>
        </w:numPr>
        <w:jc w:val="both"/>
        <w:rPr>
          <w:rFonts w:ascii="Arial" w:hAnsi="Arial" w:cs="Arial"/>
          <w:sz w:val="20"/>
          <w:szCs w:val="20"/>
        </w:rPr>
      </w:pPr>
      <w:r w:rsidRPr="00442E50">
        <w:rPr>
          <w:rFonts w:ascii="Arial" w:hAnsi="Arial" w:cs="Arial"/>
          <w:sz w:val="20"/>
          <w:szCs w:val="20"/>
        </w:rPr>
        <w:t>Integrar la información que facilite a las autoridades e instituciones competentes, la investigación, estudio y análisis de ramas y aspectos específicos relacionados con su objeto;</w:t>
      </w:r>
    </w:p>
    <w:p w:rsidR="00BD08D7" w:rsidRPr="00442E50" w:rsidRDefault="00BD08D7" w:rsidP="00BD08D7">
      <w:pPr>
        <w:pStyle w:val="Prrafodelista"/>
        <w:numPr>
          <w:ilvl w:val="0"/>
          <w:numId w:val="1"/>
        </w:numPr>
        <w:jc w:val="both"/>
        <w:rPr>
          <w:rFonts w:ascii="Arial" w:hAnsi="Arial" w:cs="Arial"/>
          <w:sz w:val="20"/>
          <w:szCs w:val="20"/>
        </w:rPr>
      </w:pPr>
      <w:r w:rsidRPr="00442E50">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 xml:space="preserve">2. Describir el panorama Económico y Financiero: </w:t>
      </w:r>
    </w:p>
    <w:p w:rsidR="00BD08D7" w:rsidRPr="00442E50" w:rsidRDefault="00BD08D7" w:rsidP="00BD08D7">
      <w:pPr>
        <w:jc w:val="both"/>
        <w:rPr>
          <w:rFonts w:ascii="Arial" w:hAnsi="Arial" w:cs="Arial"/>
          <w:sz w:val="20"/>
          <w:szCs w:val="20"/>
        </w:rPr>
      </w:pPr>
      <w:r w:rsidRPr="00442E50">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de educación, </w:t>
      </w:r>
      <w:r w:rsidRPr="00442E50">
        <w:rPr>
          <w:rFonts w:ascii="Arial" w:hAnsi="Arial" w:cs="Arial"/>
          <w:b/>
          <w:sz w:val="20"/>
          <w:szCs w:val="20"/>
        </w:rPr>
        <w:t>salud</w:t>
      </w:r>
      <w:r w:rsidRPr="00442E50">
        <w:rPr>
          <w:rFonts w:ascii="Arial" w:hAnsi="Arial" w:cs="Arial"/>
          <w:sz w:val="20"/>
          <w:szCs w:val="20"/>
        </w:rPr>
        <w:t xml:space="preserve"> y seguridad pública, por mencionar los más importante.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A partir del año 2011 se agregaron al Gasto Federalizado las transferencias de la Protección Social en Salud, y sus recursos formaban parte del programa presupuestario “Seguro Popular” a cargo de la Comisión Nacional de Protección Social en Salud, con quien el Estado de Guanajuato tenía suscrito un Acuerdo de Coordinación para la Ejecución del Sistema de Protección Social en Salud para el Ejercicio Fiscal 2019, representado por el Régimen Estatal de Protección Social en Salud del Estado de Guanajuato, quien fungía como ente financiador y supervisor del ejercicio de estos recursos, gestionando el pago al Instituto por los servicios prestados para la atención médica a los beneficiarios de los programas; Seguro Popular, Fondo de Protección de Gastos Catastróficos, y Seguro Médico Siglo XXI.</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En el Diario Oficial de la Federación del día 29 de noviembre de 2019, se reforma la Ley General de Salud, y desaparece de la misma, todo lo referente al Seguro Popular, denominando al Título Tercero Bis “De la prestación gratuita de servicios de salud, medicamentos y demás insumos asociados para las personas sin seguridad social”, y en su lugar, se crea el Instituto de Salud para el Bienestar,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El artículo 77 bis 2 indica lo siguiente: La Secretaría de Salud, con el auxilio del Instituto de Salud para el Bienestar, organizará las acciones para la prestación gratuita de los servicios de salud, medicamentos y demás insumos asociados que requieran las personas sin seguridad social, cuando así lo haya pactado con las entidades federativas mediante la celebración de los acuerdos de coordinación a que se refiere este Título.</w:t>
      </w:r>
      <w:r w:rsidRPr="00442E50">
        <w:rPr>
          <w:rFonts w:ascii="Arial" w:hAnsi="Arial" w:cs="Arial"/>
          <w:sz w:val="20"/>
          <w:szCs w:val="20"/>
        </w:rPr>
        <w:cr/>
      </w:r>
    </w:p>
    <w:p w:rsidR="00BD08D7" w:rsidRPr="00442E50" w:rsidRDefault="00BD08D7" w:rsidP="00BD08D7">
      <w:pPr>
        <w:jc w:val="both"/>
        <w:rPr>
          <w:rFonts w:ascii="Arial" w:hAnsi="Arial" w:cs="Arial"/>
          <w:sz w:val="20"/>
          <w:szCs w:val="20"/>
        </w:rPr>
      </w:pPr>
      <w:r w:rsidRPr="00442E50">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Existen otros convenios federales que tiene suscritos el Instituto con la Federación, que tienen plenamente identificado el objetivo y que son de vigencia anual.</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En menor cuantía se obtienen ingresos propios por los convenios de colaboración que tiene el Instituto con otras entidades prestadoras de servicios de Salud.</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lastRenderedPageBreak/>
        <w:t>3. Autorización e Historia:</w:t>
      </w:r>
    </w:p>
    <w:p w:rsidR="00BD08D7" w:rsidRPr="00442E50" w:rsidRDefault="00BD08D7" w:rsidP="00BD08D7">
      <w:pPr>
        <w:jc w:val="both"/>
        <w:rPr>
          <w:rFonts w:ascii="Arial" w:hAnsi="Arial" w:cs="Arial"/>
          <w:sz w:val="20"/>
          <w:szCs w:val="20"/>
        </w:rPr>
      </w:pPr>
      <w:r w:rsidRPr="00442E50">
        <w:rPr>
          <w:rFonts w:ascii="Arial" w:hAnsi="Arial" w:cs="Arial"/>
          <w:sz w:val="20"/>
          <w:szCs w:val="20"/>
        </w:rPr>
        <w:t>Se informará sobre:</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a)</w:t>
      </w:r>
      <w:r w:rsidRPr="00442E50">
        <w:rPr>
          <w:rFonts w:ascii="Arial" w:hAnsi="Arial" w:cs="Arial"/>
          <w:sz w:val="20"/>
          <w:szCs w:val="20"/>
        </w:rPr>
        <w:t xml:space="preserve"> Fecha de creación del ente.</w:t>
      </w:r>
    </w:p>
    <w:p w:rsidR="00BD08D7" w:rsidRPr="00442E50" w:rsidRDefault="00BD08D7" w:rsidP="00BD08D7">
      <w:pPr>
        <w:jc w:val="both"/>
        <w:rPr>
          <w:rFonts w:ascii="Arial" w:hAnsi="Arial" w:cs="Arial"/>
          <w:sz w:val="20"/>
          <w:szCs w:val="20"/>
        </w:rPr>
      </w:pPr>
      <w:r w:rsidRPr="00442E50">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BD08D7" w:rsidRPr="00442E50" w:rsidRDefault="00BD08D7" w:rsidP="00BD08D7">
      <w:pPr>
        <w:jc w:val="both"/>
        <w:rPr>
          <w:rFonts w:ascii="Arial" w:hAnsi="Arial" w:cs="Arial"/>
          <w:sz w:val="20"/>
          <w:szCs w:val="20"/>
        </w:rPr>
      </w:pPr>
      <w:r w:rsidRPr="00442E50">
        <w:rPr>
          <w:rFonts w:ascii="Arial" w:hAnsi="Arial" w:cs="Arial"/>
          <w:b/>
          <w:sz w:val="20"/>
          <w:szCs w:val="20"/>
        </w:rPr>
        <w:t>b)</w:t>
      </w:r>
      <w:r w:rsidRPr="00442E50">
        <w:rPr>
          <w:rFonts w:ascii="Arial" w:hAnsi="Arial" w:cs="Arial"/>
          <w:sz w:val="20"/>
          <w:szCs w:val="20"/>
        </w:rPr>
        <w:t xml:space="preserve"> Principales cambios en su estructura (interna históricamente).</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Decreto Gubernativo Número 42, mediante el cual se Reestructura la organización interna del Instituto de Salud Pública del Estado. Publicado el </w:t>
      </w:r>
      <w:r w:rsidRPr="00442E50">
        <w:rPr>
          <w:rFonts w:ascii="Arial" w:hAnsi="Arial" w:cs="Arial"/>
          <w:b/>
          <w:sz w:val="20"/>
          <w:szCs w:val="20"/>
        </w:rPr>
        <w:t xml:space="preserve">25 </w:t>
      </w:r>
      <w:proofErr w:type="gramStart"/>
      <w:r w:rsidRPr="00442E50">
        <w:rPr>
          <w:rFonts w:ascii="Arial" w:hAnsi="Arial" w:cs="Arial"/>
          <w:b/>
          <w:sz w:val="20"/>
          <w:szCs w:val="20"/>
        </w:rPr>
        <w:t>Junio</w:t>
      </w:r>
      <w:proofErr w:type="gramEnd"/>
      <w:r w:rsidRPr="00442E50">
        <w:rPr>
          <w:rFonts w:ascii="Arial" w:hAnsi="Arial" w:cs="Arial"/>
          <w:b/>
          <w:sz w:val="20"/>
          <w:szCs w:val="20"/>
        </w:rPr>
        <w:t xml:space="preserve"> de 2001</w:t>
      </w:r>
      <w:r w:rsidRPr="00442E50">
        <w:rPr>
          <w:rFonts w:ascii="Arial" w:hAnsi="Arial" w:cs="Arial"/>
          <w:sz w:val="20"/>
          <w:szCs w:val="20"/>
        </w:rPr>
        <w:t>. A fin de hacerla congruente con las disposiciones de la Ley Orgánica del Poder Ejecutivo para el Estado de Guanajuato.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Decreto Gubernativo número 268, mediante el cual se expide el Reglamento Interior del Instituto de Salud Pública del Estado de Guanajuato. Publicado el </w:t>
      </w:r>
      <w:r w:rsidRPr="00442E50">
        <w:rPr>
          <w:rFonts w:ascii="Arial" w:hAnsi="Arial" w:cs="Arial"/>
          <w:b/>
          <w:sz w:val="20"/>
          <w:szCs w:val="20"/>
        </w:rPr>
        <w:t xml:space="preserve">19 </w:t>
      </w:r>
      <w:proofErr w:type="gramStart"/>
      <w:r w:rsidRPr="00442E50">
        <w:rPr>
          <w:rFonts w:ascii="Arial" w:hAnsi="Arial" w:cs="Arial"/>
          <w:b/>
          <w:sz w:val="20"/>
          <w:szCs w:val="20"/>
        </w:rPr>
        <w:t>Mayo</w:t>
      </w:r>
      <w:proofErr w:type="gramEnd"/>
      <w:r w:rsidRPr="00442E50">
        <w:rPr>
          <w:rFonts w:ascii="Arial" w:hAnsi="Arial" w:cs="Arial"/>
          <w:b/>
          <w:sz w:val="20"/>
          <w:szCs w:val="20"/>
        </w:rPr>
        <w:t xml:space="preserve"> de 2006</w:t>
      </w:r>
      <w:r w:rsidRPr="00442E50">
        <w:rPr>
          <w:rFonts w:ascii="Arial" w:hAnsi="Arial" w:cs="Arial"/>
          <w:sz w:val="20"/>
          <w:szCs w:val="20"/>
        </w:rPr>
        <w:t>. A fin de incluir las nuevas unidades administrativas necesarias para hacer frente a las demandas y la eficiente prestación del servicio de salud en la entidad.</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442E50">
        <w:rPr>
          <w:rFonts w:ascii="Arial" w:hAnsi="Arial" w:cs="Arial"/>
          <w:b/>
          <w:sz w:val="20"/>
          <w:szCs w:val="20"/>
        </w:rPr>
        <w:t>25 de septiembre de 2012</w:t>
      </w:r>
      <w:r w:rsidRPr="00442E50">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4. Organización y Objeto Social:</w:t>
      </w:r>
    </w:p>
    <w:p w:rsidR="00BD08D7" w:rsidRPr="00442E50" w:rsidRDefault="00BD08D7" w:rsidP="00BD08D7">
      <w:pPr>
        <w:jc w:val="both"/>
        <w:rPr>
          <w:rFonts w:ascii="Arial" w:hAnsi="Arial" w:cs="Arial"/>
          <w:sz w:val="20"/>
          <w:szCs w:val="20"/>
        </w:rPr>
      </w:pPr>
      <w:r w:rsidRPr="00442E50">
        <w:rPr>
          <w:rFonts w:ascii="Arial" w:hAnsi="Arial" w:cs="Arial"/>
          <w:sz w:val="20"/>
          <w:szCs w:val="20"/>
        </w:rPr>
        <w:t>Se informará sobre:</w:t>
      </w:r>
    </w:p>
    <w:p w:rsidR="00BD08D7" w:rsidRPr="00442E50" w:rsidRDefault="00BD08D7" w:rsidP="00BD08D7">
      <w:pPr>
        <w:jc w:val="both"/>
        <w:rPr>
          <w:rFonts w:ascii="Arial" w:hAnsi="Arial" w:cs="Arial"/>
          <w:sz w:val="20"/>
          <w:szCs w:val="20"/>
        </w:rPr>
      </w:pPr>
    </w:p>
    <w:p w:rsidR="00BD08D7" w:rsidRPr="00442E50" w:rsidRDefault="00BD08D7" w:rsidP="00BD08D7">
      <w:pPr>
        <w:ind w:left="708" w:hanging="708"/>
        <w:jc w:val="both"/>
        <w:rPr>
          <w:rFonts w:ascii="Arial" w:hAnsi="Arial" w:cs="Arial"/>
          <w:sz w:val="20"/>
          <w:szCs w:val="20"/>
        </w:rPr>
      </w:pPr>
      <w:r w:rsidRPr="00442E50">
        <w:rPr>
          <w:rFonts w:ascii="Arial" w:hAnsi="Arial" w:cs="Arial"/>
          <w:b/>
          <w:sz w:val="20"/>
          <w:szCs w:val="20"/>
        </w:rPr>
        <w:t>a)</w:t>
      </w:r>
      <w:r w:rsidRPr="00442E50">
        <w:rPr>
          <w:rFonts w:ascii="Arial" w:hAnsi="Arial" w:cs="Arial"/>
          <w:sz w:val="20"/>
          <w:szCs w:val="20"/>
        </w:rPr>
        <w:t xml:space="preserve"> Objeto social.</w:t>
      </w:r>
    </w:p>
    <w:p w:rsidR="00BD08D7" w:rsidRPr="00442E50" w:rsidRDefault="00BD08D7" w:rsidP="00BD08D7">
      <w:pPr>
        <w:jc w:val="both"/>
        <w:rPr>
          <w:rFonts w:ascii="Arial" w:hAnsi="Arial" w:cs="Arial"/>
          <w:sz w:val="20"/>
          <w:szCs w:val="20"/>
        </w:rPr>
      </w:pPr>
      <w:r w:rsidRPr="00442E50">
        <w:rPr>
          <w:rFonts w:ascii="Arial" w:hAnsi="Arial" w:cs="Arial"/>
          <w:sz w:val="20"/>
          <w:szCs w:val="20"/>
        </w:rPr>
        <w:t>En Instituto de Salud Pública del Estado de Guanajuato tiene como objeto social:</w:t>
      </w:r>
    </w:p>
    <w:p w:rsidR="00BD08D7" w:rsidRPr="00442E50" w:rsidRDefault="00BD08D7" w:rsidP="00BD08D7">
      <w:pPr>
        <w:pStyle w:val="Prrafodelista"/>
        <w:numPr>
          <w:ilvl w:val="0"/>
          <w:numId w:val="5"/>
        </w:numPr>
        <w:jc w:val="both"/>
        <w:rPr>
          <w:rFonts w:ascii="Arial" w:hAnsi="Arial" w:cs="Arial"/>
          <w:sz w:val="20"/>
          <w:szCs w:val="20"/>
        </w:rPr>
      </w:pPr>
      <w:r w:rsidRPr="00442E50">
        <w:rPr>
          <w:rFonts w:ascii="Arial" w:hAnsi="Arial" w:cs="Arial"/>
          <w:sz w:val="20"/>
          <w:szCs w:val="20"/>
        </w:rPr>
        <w:lastRenderedPageBreak/>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BD08D7" w:rsidRPr="00442E50" w:rsidRDefault="00BD08D7" w:rsidP="00BD08D7">
      <w:pPr>
        <w:pStyle w:val="Prrafodelista"/>
        <w:numPr>
          <w:ilvl w:val="0"/>
          <w:numId w:val="5"/>
        </w:numPr>
        <w:jc w:val="both"/>
        <w:rPr>
          <w:rFonts w:ascii="Arial" w:hAnsi="Arial" w:cs="Arial"/>
          <w:sz w:val="20"/>
          <w:szCs w:val="20"/>
        </w:rPr>
      </w:pPr>
      <w:r w:rsidRPr="00442E50">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b)</w:t>
      </w:r>
      <w:r w:rsidRPr="00442E50">
        <w:rPr>
          <w:rFonts w:ascii="Arial" w:hAnsi="Arial" w:cs="Arial"/>
          <w:sz w:val="20"/>
          <w:szCs w:val="20"/>
        </w:rPr>
        <w:t xml:space="preserve"> Principal actividad.</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de Salud Pública del Estado de Guanajuato tiene como actividad prioritaria:</w:t>
      </w:r>
    </w:p>
    <w:p w:rsidR="00BD08D7" w:rsidRPr="00442E50" w:rsidRDefault="00BD08D7" w:rsidP="00BD08D7">
      <w:pPr>
        <w:jc w:val="both"/>
        <w:rPr>
          <w:rFonts w:ascii="Arial" w:hAnsi="Arial" w:cs="Arial"/>
          <w:sz w:val="20"/>
          <w:szCs w:val="20"/>
        </w:rPr>
      </w:pPr>
      <w:r w:rsidRPr="00442E50">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c)</w:t>
      </w:r>
      <w:r w:rsidRPr="00442E50">
        <w:rPr>
          <w:rFonts w:ascii="Arial" w:hAnsi="Arial" w:cs="Arial"/>
          <w:sz w:val="20"/>
          <w:szCs w:val="20"/>
        </w:rPr>
        <w:t xml:space="preserve"> Ejercicio fiscal.</w:t>
      </w:r>
    </w:p>
    <w:p w:rsidR="00BD08D7" w:rsidRPr="00442E50" w:rsidRDefault="00BD08D7" w:rsidP="00BD08D7">
      <w:pPr>
        <w:jc w:val="both"/>
        <w:rPr>
          <w:rFonts w:ascii="Arial" w:hAnsi="Arial" w:cs="Arial"/>
          <w:sz w:val="20"/>
          <w:szCs w:val="20"/>
        </w:rPr>
      </w:pPr>
      <w:r w:rsidRPr="00442E50">
        <w:rPr>
          <w:rFonts w:ascii="Arial" w:hAnsi="Arial" w:cs="Arial"/>
          <w:sz w:val="20"/>
          <w:szCs w:val="20"/>
        </w:rPr>
        <w:t>El ejercicio fiscal actual comprende el periodo del 01 de enero al 31 de diciembre de 2021.</w:t>
      </w: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d)</w:t>
      </w:r>
      <w:r w:rsidRPr="00442E50">
        <w:rPr>
          <w:rFonts w:ascii="Arial" w:hAnsi="Arial" w:cs="Arial"/>
          <w:sz w:val="20"/>
          <w:szCs w:val="20"/>
        </w:rPr>
        <w:t xml:space="preserve"> Régimen jurídico.</w:t>
      </w: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El Régimen jurídico con el que se encuentra registrado el Instituto de Salud Pública del Estado de Guanajuato es: </w:t>
      </w:r>
    </w:p>
    <w:p w:rsidR="00BD08D7" w:rsidRPr="00442E50" w:rsidRDefault="00BD08D7" w:rsidP="00BD08D7">
      <w:pPr>
        <w:jc w:val="both"/>
        <w:rPr>
          <w:rFonts w:ascii="Arial" w:hAnsi="Arial" w:cs="Arial"/>
          <w:sz w:val="20"/>
          <w:szCs w:val="20"/>
        </w:rPr>
      </w:pPr>
      <w:r w:rsidRPr="00442E50">
        <w:rPr>
          <w:rFonts w:ascii="Arial" w:hAnsi="Arial" w:cs="Arial"/>
          <w:sz w:val="20"/>
          <w:szCs w:val="20"/>
        </w:rPr>
        <w:t>Régimen de las Personas Morales con Fines no Lucrativos.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e)</w:t>
      </w:r>
      <w:r w:rsidRPr="00442E50">
        <w:rPr>
          <w:rFonts w:ascii="Arial" w:hAnsi="Arial" w:cs="Arial"/>
          <w:sz w:val="20"/>
          <w:szCs w:val="20"/>
        </w:rPr>
        <w:t xml:space="preserve"> Consideraciones fiscales del ente: </w:t>
      </w: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El Instituto de Salud Pública del Estado de Guanajuato, se encuentra inscrito en el Sistema de Administración Tributaria (SAT) con RFC ISP961122JV5, domicilio fiscal ubicado en Tamazuca 4 de la colonia Guanajuato Centro, en la ciudad de Guanajuato, </w:t>
      </w:r>
      <w:proofErr w:type="spellStart"/>
      <w:r w:rsidRPr="00442E50">
        <w:rPr>
          <w:rFonts w:ascii="Arial" w:hAnsi="Arial" w:cs="Arial"/>
          <w:sz w:val="20"/>
          <w:szCs w:val="20"/>
        </w:rPr>
        <w:t>Gto</w:t>
      </w:r>
      <w:proofErr w:type="spellEnd"/>
      <w:r w:rsidRPr="00442E50">
        <w:rPr>
          <w:rFonts w:ascii="Arial" w:hAnsi="Arial" w:cs="Arial"/>
          <w:sz w:val="20"/>
          <w:szCs w:val="20"/>
        </w:rPr>
        <w:t>., y Código Postal 36000 con las siguientes obligaciones fiscales:</w:t>
      </w:r>
    </w:p>
    <w:p w:rsidR="00BD08D7" w:rsidRPr="00442E50" w:rsidRDefault="00BD08D7" w:rsidP="00BD08D7">
      <w:pPr>
        <w:jc w:val="both"/>
        <w:rPr>
          <w:rFonts w:ascii="Arial" w:hAnsi="Arial" w:cs="Arial"/>
          <w:sz w:val="20"/>
          <w:szCs w:val="20"/>
          <w:u w:val="single"/>
        </w:rPr>
      </w:pPr>
    </w:p>
    <w:p w:rsidR="00BD08D7" w:rsidRPr="00442E50" w:rsidRDefault="00BD08D7" w:rsidP="00BD08D7">
      <w:pPr>
        <w:jc w:val="both"/>
        <w:rPr>
          <w:rFonts w:ascii="Arial" w:hAnsi="Arial" w:cs="Arial"/>
          <w:sz w:val="20"/>
          <w:szCs w:val="20"/>
          <w:u w:val="single"/>
        </w:rPr>
      </w:pPr>
    </w:p>
    <w:p w:rsidR="00BD08D7" w:rsidRPr="00442E50" w:rsidRDefault="00BD08D7" w:rsidP="00BD08D7">
      <w:pPr>
        <w:pStyle w:val="Prrafodelista"/>
        <w:numPr>
          <w:ilvl w:val="0"/>
          <w:numId w:val="2"/>
        </w:numPr>
        <w:jc w:val="both"/>
        <w:rPr>
          <w:rFonts w:ascii="Arial" w:hAnsi="Arial" w:cs="Arial"/>
          <w:sz w:val="20"/>
          <w:szCs w:val="20"/>
        </w:rPr>
      </w:pPr>
      <w:r w:rsidRPr="00442E50">
        <w:rPr>
          <w:rFonts w:ascii="Arial" w:hAnsi="Arial" w:cs="Arial"/>
          <w:sz w:val="20"/>
          <w:szCs w:val="20"/>
        </w:rPr>
        <w:t>Entero de retenciones mensuales de ISR por sueldos y salarios.</w:t>
      </w:r>
    </w:p>
    <w:p w:rsidR="00BD08D7" w:rsidRPr="00442E50" w:rsidRDefault="00BD08D7" w:rsidP="00BD08D7">
      <w:pPr>
        <w:pStyle w:val="Prrafodelista"/>
        <w:numPr>
          <w:ilvl w:val="0"/>
          <w:numId w:val="2"/>
        </w:numPr>
        <w:jc w:val="both"/>
        <w:rPr>
          <w:rFonts w:ascii="Arial" w:hAnsi="Arial" w:cs="Arial"/>
          <w:sz w:val="20"/>
          <w:szCs w:val="20"/>
        </w:rPr>
      </w:pPr>
      <w:r w:rsidRPr="00442E50">
        <w:rPr>
          <w:rFonts w:ascii="Arial" w:hAnsi="Arial" w:cs="Arial"/>
          <w:sz w:val="20"/>
          <w:szCs w:val="20"/>
        </w:rPr>
        <w:t>Entero de retenciones mensuales de ISR por ingresos asimilados a salarios.</w:t>
      </w:r>
    </w:p>
    <w:p w:rsidR="00BD08D7" w:rsidRPr="00442E50" w:rsidRDefault="00BD08D7" w:rsidP="00BD08D7">
      <w:pPr>
        <w:pStyle w:val="Prrafodelista"/>
        <w:numPr>
          <w:ilvl w:val="0"/>
          <w:numId w:val="2"/>
        </w:numPr>
        <w:jc w:val="both"/>
        <w:rPr>
          <w:rFonts w:ascii="Arial" w:hAnsi="Arial" w:cs="Arial"/>
          <w:sz w:val="20"/>
          <w:szCs w:val="20"/>
        </w:rPr>
      </w:pPr>
      <w:r w:rsidRPr="00442E50">
        <w:rPr>
          <w:rFonts w:ascii="Arial" w:hAnsi="Arial" w:cs="Arial"/>
          <w:sz w:val="20"/>
          <w:szCs w:val="20"/>
        </w:rPr>
        <w:t>Entero mensual de retenciones de ISR por servicios profesionales.</w:t>
      </w:r>
    </w:p>
    <w:p w:rsidR="00BD08D7" w:rsidRPr="00442E50" w:rsidRDefault="00BD08D7" w:rsidP="00BD08D7">
      <w:pPr>
        <w:pStyle w:val="Prrafodelista"/>
        <w:numPr>
          <w:ilvl w:val="0"/>
          <w:numId w:val="2"/>
        </w:numPr>
        <w:jc w:val="both"/>
        <w:rPr>
          <w:rFonts w:ascii="Arial" w:hAnsi="Arial" w:cs="Arial"/>
          <w:sz w:val="20"/>
          <w:szCs w:val="20"/>
        </w:rPr>
      </w:pPr>
      <w:r w:rsidRPr="00442E50">
        <w:rPr>
          <w:rFonts w:ascii="Arial" w:hAnsi="Arial" w:cs="Arial"/>
          <w:sz w:val="20"/>
          <w:szCs w:val="20"/>
        </w:rPr>
        <w:t>Entero mensual de retenciones de ISR de ingresos por arrendamiento.</w:t>
      </w:r>
    </w:p>
    <w:p w:rsidR="00BD08D7" w:rsidRPr="00442E50" w:rsidRDefault="00BD08D7" w:rsidP="00BD08D7">
      <w:pPr>
        <w:pStyle w:val="Prrafodelista"/>
        <w:numPr>
          <w:ilvl w:val="0"/>
          <w:numId w:val="2"/>
        </w:numPr>
        <w:jc w:val="both"/>
        <w:rPr>
          <w:rFonts w:ascii="Arial" w:hAnsi="Arial" w:cs="Arial"/>
          <w:sz w:val="20"/>
          <w:szCs w:val="20"/>
        </w:rPr>
      </w:pPr>
      <w:r w:rsidRPr="00442E50">
        <w:rPr>
          <w:rFonts w:ascii="Arial" w:hAnsi="Arial" w:cs="Arial"/>
          <w:sz w:val="20"/>
          <w:szCs w:val="20"/>
        </w:rPr>
        <w:t>Declaración Informativa anual de pagos y retenciones de servicios profesionales. Personas Morales. Impuesto Sobre la Renta.</w:t>
      </w:r>
    </w:p>
    <w:p w:rsidR="00BD08D7" w:rsidRPr="00442E50" w:rsidRDefault="00BD08D7" w:rsidP="00BD08D7">
      <w:pPr>
        <w:pStyle w:val="Prrafodelista"/>
        <w:numPr>
          <w:ilvl w:val="0"/>
          <w:numId w:val="2"/>
        </w:numPr>
        <w:jc w:val="both"/>
        <w:rPr>
          <w:rFonts w:ascii="Arial" w:hAnsi="Arial" w:cs="Arial"/>
          <w:sz w:val="20"/>
          <w:szCs w:val="20"/>
        </w:rPr>
      </w:pPr>
      <w:r w:rsidRPr="00442E50">
        <w:rPr>
          <w:rFonts w:ascii="Arial" w:hAnsi="Arial" w:cs="Arial"/>
          <w:sz w:val="20"/>
          <w:szCs w:val="20"/>
        </w:rPr>
        <w:t>Declaración Informativa anual de retenciones de ISR por arrendamiento de inmuebles.</w:t>
      </w:r>
    </w:p>
    <w:p w:rsidR="00BD08D7" w:rsidRPr="00442E50" w:rsidRDefault="00BD08D7" w:rsidP="00BD08D7">
      <w:pPr>
        <w:pStyle w:val="Prrafodelista"/>
        <w:numPr>
          <w:ilvl w:val="0"/>
          <w:numId w:val="2"/>
        </w:numPr>
        <w:jc w:val="both"/>
        <w:rPr>
          <w:rFonts w:ascii="Arial" w:hAnsi="Arial" w:cs="Arial"/>
          <w:sz w:val="20"/>
          <w:szCs w:val="20"/>
        </w:rPr>
      </w:pPr>
      <w:r w:rsidRPr="00442E50">
        <w:rPr>
          <w:rFonts w:ascii="Arial" w:hAnsi="Arial" w:cs="Arial"/>
          <w:sz w:val="20"/>
          <w:szCs w:val="20"/>
        </w:rPr>
        <w:t>Declaración Informativa Mensual de Proveedores (DIOT).</w:t>
      </w:r>
    </w:p>
    <w:p w:rsidR="00BD08D7" w:rsidRPr="00442E50" w:rsidRDefault="00BD08D7" w:rsidP="00BD08D7">
      <w:pPr>
        <w:pStyle w:val="Prrafodelista"/>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En relación a las obligaciones fiscales locales con la Secretaría de Finanzas, Inversión y Administración se tienen las siguientes:</w:t>
      </w:r>
    </w:p>
    <w:p w:rsidR="00BD08D7" w:rsidRPr="00442E50" w:rsidRDefault="00BD08D7" w:rsidP="00BD08D7">
      <w:pPr>
        <w:jc w:val="both"/>
        <w:rPr>
          <w:rFonts w:ascii="Arial" w:hAnsi="Arial" w:cs="Arial"/>
          <w:sz w:val="20"/>
          <w:szCs w:val="20"/>
        </w:rPr>
      </w:pPr>
    </w:p>
    <w:p w:rsidR="00BD08D7" w:rsidRPr="00442E50" w:rsidRDefault="00BD08D7" w:rsidP="00BD08D7">
      <w:pPr>
        <w:pStyle w:val="Prrafodelista"/>
        <w:numPr>
          <w:ilvl w:val="0"/>
          <w:numId w:val="4"/>
        </w:numPr>
        <w:jc w:val="both"/>
        <w:rPr>
          <w:rFonts w:ascii="Arial" w:hAnsi="Arial" w:cs="Arial"/>
          <w:sz w:val="20"/>
          <w:szCs w:val="20"/>
        </w:rPr>
      </w:pPr>
      <w:r w:rsidRPr="00442E50">
        <w:rPr>
          <w:rFonts w:ascii="Arial" w:hAnsi="Arial" w:cs="Arial"/>
          <w:sz w:val="20"/>
          <w:szCs w:val="20"/>
        </w:rPr>
        <w:t>Declaración y Pago Provisional mensual de retenciones de Impuesto Cedular por arrendamiento de Inmuebles efectuados de Personas Físicas.</w:t>
      </w:r>
    </w:p>
    <w:p w:rsidR="00BD08D7" w:rsidRPr="00442E50" w:rsidRDefault="00BD08D7" w:rsidP="00BD08D7">
      <w:pPr>
        <w:pStyle w:val="Prrafodelista"/>
        <w:numPr>
          <w:ilvl w:val="0"/>
          <w:numId w:val="4"/>
        </w:numPr>
        <w:jc w:val="both"/>
        <w:rPr>
          <w:rFonts w:ascii="Arial" w:hAnsi="Arial" w:cs="Arial"/>
          <w:sz w:val="20"/>
          <w:szCs w:val="20"/>
        </w:rPr>
      </w:pPr>
      <w:r w:rsidRPr="00442E50">
        <w:rPr>
          <w:rFonts w:ascii="Arial" w:hAnsi="Arial" w:cs="Arial"/>
          <w:sz w:val="20"/>
          <w:szCs w:val="20"/>
        </w:rPr>
        <w:t>Declaración y Pago Provisional mensual de retenciones de Impuesto Cedular por Servicios Profesionales efectuados de Personas Físicas</w:t>
      </w:r>
    </w:p>
    <w:p w:rsidR="00BD08D7" w:rsidRPr="00442E50" w:rsidRDefault="00BD08D7" w:rsidP="00BD08D7">
      <w:pPr>
        <w:pStyle w:val="Prrafodelista"/>
        <w:numPr>
          <w:ilvl w:val="0"/>
          <w:numId w:val="3"/>
        </w:numPr>
        <w:jc w:val="both"/>
        <w:rPr>
          <w:rFonts w:ascii="Arial" w:hAnsi="Arial" w:cs="Arial"/>
          <w:sz w:val="20"/>
          <w:szCs w:val="20"/>
        </w:rPr>
      </w:pPr>
      <w:r w:rsidRPr="00442E50">
        <w:rPr>
          <w:rFonts w:ascii="Arial" w:hAnsi="Arial" w:cs="Arial"/>
          <w:sz w:val="20"/>
          <w:szCs w:val="20"/>
        </w:rPr>
        <w:t>Declaración anual de retenciones de Impuesto cedular por conceptos de Servicios Profesionales y Arrendamiento de Inmuebles.</w:t>
      </w:r>
    </w:p>
    <w:p w:rsidR="00BD08D7" w:rsidRPr="00442E50" w:rsidRDefault="00BD08D7" w:rsidP="00BD08D7">
      <w:pPr>
        <w:pStyle w:val="Prrafodelista"/>
        <w:numPr>
          <w:ilvl w:val="0"/>
          <w:numId w:val="3"/>
        </w:numPr>
        <w:jc w:val="both"/>
        <w:rPr>
          <w:rFonts w:ascii="Arial" w:hAnsi="Arial" w:cs="Arial"/>
          <w:sz w:val="20"/>
          <w:szCs w:val="20"/>
        </w:rPr>
      </w:pPr>
      <w:r w:rsidRPr="00442E50">
        <w:rPr>
          <w:rFonts w:ascii="Arial" w:hAnsi="Arial" w:cs="Arial"/>
          <w:sz w:val="20"/>
          <w:szCs w:val="20"/>
        </w:rPr>
        <w:t>Declaración y pago mensual de Impuesto sobre Nómina.</w:t>
      </w:r>
    </w:p>
    <w:p w:rsidR="00BD08D7" w:rsidRPr="00442E50" w:rsidRDefault="00BD08D7" w:rsidP="00BD08D7">
      <w:pPr>
        <w:pStyle w:val="Prrafodelista"/>
        <w:numPr>
          <w:ilvl w:val="0"/>
          <w:numId w:val="3"/>
        </w:numPr>
        <w:jc w:val="both"/>
        <w:rPr>
          <w:rFonts w:ascii="Arial" w:hAnsi="Arial" w:cs="Arial"/>
          <w:sz w:val="20"/>
          <w:szCs w:val="20"/>
        </w:rPr>
      </w:pPr>
      <w:r w:rsidRPr="00442E50">
        <w:rPr>
          <w:rFonts w:ascii="Arial" w:hAnsi="Arial" w:cs="Arial"/>
          <w:sz w:val="20"/>
          <w:szCs w:val="20"/>
        </w:rPr>
        <w:t>Declaración anual de Impuesto sobre Nómina.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f)</w:t>
      </w:r>
      <w:r w:rsidRPr="00442E50">
        <w:rPr>
          <w:rFonts w:ascii="Arial" w:hAnsi="Arial" w:cs="Arial"/>
          <w:sz w:val="20"/>
          <w:szCs w:val="20"/>
        </w:rPr>
        <w:t xml:space="preserve"> Estructura organizacional básica.</w:t>
      </w:r>
    </w:p>
    <w:p w:rsidR="00BD08D7" w:rsidRPr="00442E50" w:rsidRDefault="00BD08D7" w:rsidP="00BD08D7">
      <w:pPr>
        <w:ind w:firstLine="708"/>
        <w:jc w:val="both"/>
        <w:rPr>
          <w:rFonts w:ascii="Arial" w:hAnsi="Arial" w:cs="Arial"/>
          <w:sz w:val="20"/>
          <w:szCs w:val="20"/>
        </w:rPr>
      </w:pPr>
      <w:r w:rsidRPr="00442E50">
        <w:rPr>
          <w:rFonts w:ascii="Arial" w:hAnsi="Arial" w:cs="Arial"/>
          <w:sz w:val="20"/>
          <w:szCs w:val="20"/>
        </w:rPr>
        <w:t>La estructura organizacional básica del Instituto de Salud Pública del Estado de Guanajuato, se encuentra autorizada en su Reglamento Interior Vigente, y es la siguiente:</w:t>
      </w:r>
    </w:p>
    <w:p w:rsidR="00BD08D7" w:rsidRPr="00442E50" w:rsidRDefault="00BD08D7" w:rsidP="00BD08D7">
      <w:pPr>
        <w:jc w:val="both"/>
        <w:rPr>
          <w:rFonts w:ascii="Arial" w:hAnsi="Arial" w:cs="Arial"/>
          <w:b/>
          <w:sz w:val="20"/>
          <w:szCs w:val="20"/>
        </w:rPr>
      </w:pPr>
      <w:r w:rsidRPr="00442E50">
        <w:rPr>
          <w:rFonts w:ascii="Arial" w:hAnsi="Arial" w:cs="Arial"/>
          <w:b/>
          <w:sz w:val="20"/>
          <w:szCs w:val="20"/>
        </w:rPr>
        <w:t>I.- Director General</w:t>
      </w:r>
    </w:p>
    <w:p w:rsidR="00BD08D7" w:rsidRPr="00442E50" w:rsidRDefault="00BD08D7" w:rsidP="00BD08D7">
      <w:pPr>
        <w:pStyle w:val="Prrafodelista"/>
        <w:numPr>
          <w:ilvl w:val="1"/>
          <w:numId w:val="6"/>
        </w:numPr>
        <w:jc w:val="both"/>
        <w:rPr>
          <w:rFonts w:ascii="Arial" w:hAnsi="Arial" w:cs="Arial"/>
          <w:i/>
          <w:sz w:val="20"/>
          <w:szCs w:val="20"/>
        </w:rPr>
      </w:pPr>
      <w:r w:rsidRPr="00442E50">
        <w:rPr>
          <w:rFonts w:ascii="Arial" w:hAnsi="Arial" w:cs="Arial"/>
          <w:i/>
          <w:sz w:val="20"/>
          <w:szCs w:val="20"/>
        </w:rPr>
        <w:t>Secretaría Particular</w:t>
      </w:r>
    </w:p>
    <w:p w:rsidR="00BD08D7" w:rsidRPr="00442E50" w:rsidRDefault="00BD08D7" w:rsidP="00BD08D7">
      <w:pPr>
        <w:pStyle w:val="Prrafodelista"/>
        <w:numPr>
          <w:ilvl w:val="1"/>
          <w:numId w:val="6"/>
        </w:numPr>
        <w:jc w:val="both"/>
        <w:rPr>
          <w:rFonts w:ascii="Arial" w:hAnsi="Arial" w:cs="Arial"/>
          <w:i/>
          <w:sz w:val="20"/>
          <w:szCs w:val="20"/>
        </w:rPr>
      </w:pPr>
      <w:r w:rsidRPr="00442E50">
        <w:rPr>
          <w:rFonts w:ascii="Arial" w:hAnsi="Arial" w:cs="Arial"/>
          <w:i/>
          <w:sz w:val="20"/>
          <w:szCs w:val="20"/>
        </w:rPr>
        <w:t>Secretaría Técnica</w:t>
      </w:r>
    </w:p>
    <w:p w:rsidR="00BD08D7" w:rsidRPr="00442E50" w:rsidRDefault="00BD08D7" w:rsidP="00BD08D7">
      <w:pPr>
        <w:pStyle w:val="Prrafodelista"/>
        <w:numPr>
          <w:ilvl w:val="1"/>
          <w:numId w:val="6"/>
        </w:numPr>
        <w:jc w:val="both"/>
        <w:rPr>
          <w:rFonts w:ascii="Arial" w:hAnsi="Arial" w:cs="Arial"/>
          <w:i/>
          <w:sz w:val="20"/>
          <w:szCs w:val="20"/>
        </w:rPr>
      </w:pPr>
      <w:r w:rsidRPr="00442E50">
        <w:rPr>
          <w:rFonts w:ascii="Arial" w:hAnsi="Arial" w:cs="Arial"/>
          <w:i/>
          <w:sz w:val="20"/>
          <w:szCs w:val="20"/>
        </w:rPr>
        <w:t>Comunicación Social</w:t>
      </w:r>
    </w:p>
    <w:p w:rsidR="00BD08D7" w:rsidRPr="00442E50" w:rsidRDefault="00BD08D7" w:rsidP="00BD08D7">
      <w:pPr>
        <w:pStyle w:val="Prrafodelista"/>
        <w:numPr>
          <w:ilvl w:val="1"/>
          <w:numId w:val="6"/>
        </w:numPr>
        <w:jc w:val="both"/>
        <w:rPr>
          <w:rFonts w:ascii="Arial" w:hAnsi="Arial" w:cs="Arial"/>
          <w:i/>
          <w:sz w:val="20"/>
          <w:szCs w:val="20"/>
        </w:rPr>
      </w:pPr>
      <w:r w:rsidRPr="00442E50">
        <w:rPr>
          <w:rFonts w:ascii="Arial" w:hAnsi="Arial" w:cs="Arial"/>
          <w:i/>
          <w:sz w:val="20"/>
          <w:szCs w:val="20"/>
        </w:rPr>
        <w:t>Asuntos Jurídicos</w:t>
      </w:r>
    </w:p>
    <w:p w:rsidR="00BD08D7" w:rsidRPr="00442E50" w:rsidRDefault="00BD08D7" w:rsidP="00BD08D7">
      <w:pPr>
        <w:pStyle w:val="Prrafodelista"/>
        <w:numPr>
          <w:ilvl w:val="1"/>
          <w:numId w:val="6"/>
        </w:numPr>
        <w:jc w:val="both"/>
        <w:rPr>
          <w:rFonts w:ascii="Arial" w:hAnsi="Arial" w:cs="Arial"/>
          <w:i/>
          <w:sz w:val="20"/>
          <w:szCs w:val="20"/>
        </w:rPr>
      </w:pPr>
      <w:r w:rsidRPr="00442E50">
        <w:rPr>
          <w:rFonts w:ascii="Arial" w:hAnsi="Arial" w:cs="Arial"/>
          <w:i/>
          <w:sz w:val="20"/>
          <w:szCs w:val="20"/>
        </w:rPr>
        <w:t>Órgano Interno de Control</w:t>
      </w:r>
    </w:p>
    <w:p w:rsidR="00BD08D7" w:rsidRPr="00442E50" w:rsidRDefault="00BD08D7" w:rsidP="00BD08D7">
      <w:pPr>
        <w:pStyle w:val="Prrafodelista"/>
        <w:numPr>
          <w:ilvl w:val="1"/>
          <w:numId w:val="6"/>
        </w:numPr>
        <w:jc w:val="both"/>
        <w:rPr>
          <w:rFonts w:ascii="Arial" w:hAnsi="Arial" w:cs="Arial"/>
          <w:i/>
          <w:sz w:val="20"/>
          <w:szCs w:val="20"/>
        </w:rPr>
      </w:pPr>
      <w:r w:rsidRPr="00442E50">
        <w:rPr>
          <w:rFonts w:ascii="Arial" w:hAnsi="Arial" w:cs="Arial"/>
          <w:i/>
          <w:sz w:val="20"/>
          <w:szCs w:val="20"/>
        </w:rPr>
        <w:t>Coordinación Intersectorial</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II.- Coordinador General de Salud Pública</w:t>
      </w:r>
    </w:p>
    <w:p w:rsidR="00BD08D7" w:rsidRPr="00442E50" w:rsidRDefault="00BD08D7" w:rsidP="00BD08D7">
      <w:pPr>
        <w:pStyle w:val="Prrafodelista"/>
        <w:numPr>
          <w:ilvl w:val="1"/>
          <w:numId w:val="12"/>
        </w:numPr>
        <w:jc w:val="both"/>
        <w:rPr>
          <w:rFonts w:ascii="Arial" w:hAnsi="Arial" w:cs="Arial"/>
          <w:i/>
          <w:sz w:val="20"/>
          <w:szCs w:val="20"/>
        </w:rPr>
      </w:pPr>
      <w:r w:rsidRPr="00442E50">
        <w:rPr>
          <w:rFonts w:ascii="Arial" w:hAnsi="Arial" w:cs="Arial"/>
          <w:i/>
          <w:sz w:val="20"/>
          <w:szCs w:val="20"/>
        </w:rPr>
        <w:t xml:space="preserve">Director General de Servicios de Salud </w:t>
      </w:r>
    </w:p>
    <w:p w:rsidR="00BD08D7" w:rsidRPr="00442E50" w:rsidRDefault="00BD08D7" w:rsidP="00BD08D7">
      <w:pPr>
        <w:pStyle w:val="Prrafodelista"/>
        <w:numPr>
          <w:ilvl w:val="0"/>
          <w:numId w:val="7"/>
        </w:numPr>
        <w:jc w:val="both"/>
        <w:rPr>
          <w:rFonts w:ascii="Arial" w:hAnsi="Arial" w:cs="Arial"/>
          <w:sz w:val="20"/>
          <w:szCs w:val="20"/>
        </w:rPr>
      </w:pPr>
      <w:r w:rsidRPr="00442E50">
        <w:rPr>
          <w:rFonts w:ascii="Arial" w:hAnsi="Arial" w:cs="Arial"/>
          <w:sz w:val="20"/>
          <w:szCs w:val="20"/>
        </w:rPr>
        <w:t>Dirección de Atención Médica</w:t>
      </w:r>
    </w:p>
    <w:p w:rsidR="00BD08D7" w:rsidRPr="00442E50" w:rsidRDefault="00BD08D7" w:rsidP="00BD08D7">
      <w:pPr>
        <w:pStyle w:val="Prrafodelista"/>
        <w:numPr>
          <w:ilvl w:val="0"/>
          <w:numId w:val="7"/>
        </w:numPr>
        <w:jc w:val="both"/>
        <w:rPr>
          <w:rFonts w:ascii="Arial" w:hAnsi="Arial" w:cs="Arial"/>
          <w:sz w:val="20"/>
          <w:szCs w:val="20"/>
        </w:rPr>
      </w:pPr>
      <w:r w:rsidRPr="00442E50">
        <w:rPr>
          <w:rFonts w:ascii="Arial" w:hAnsi="Arial" w:cs="Arial"/>
          <w:sz w:val="20"/>
          <w:szCs w:val="20"/>
        </w:rPr>
        <w:t>Dirección de Salud Pública</w:t>
      </w:r>
    </w:p>
    <w:p w:rsidR="00BD08D7" w:rsidRPr="00442E50" w:rsidRDefault="00BD08D7" w:rsidP="00BD08D7">
      <w:pPr>
        <w:pStyle w:val="Prrafodelista"/>
        <w:numPr>
          <w:ilvl w:val="0"/>
          <w:numId w:val="7"/>
        </w:numPr>
        <w:jc w:val="both"/>
        <w:rPr>
          <w:rFonts w:ascii="Arial" w:hAnsi="Arial" w:cs="Arial"/>
          <w:sz w:val="20"/>
          <w:szCs w:val="20"/>
        </w:rPr>
      </w:pPr>
      <w:r w:rsidRPr="00442E50">
        <w:rPr>
          <w:rFonts w:ascii="Arial" w:hAnsi="Arial" w:cs="Arial"/>
          <w:sz w:val="20"/>
          <w:szCs w:val="20"/>
        </w:rPr>
        <w:t>Dirección de Enseñanza e Investigación</w:t>
      </w:r>
    </w:p>
    <w:p w:rsidR="00BD08D7" w:rsidRPr="00442E50" w:rsidRDefault="00BD08D7" w:rsidP="00BD08D7">
      <w:pPr>
        <w:pStyle w:val="Prrafodelista"/>
        <w:numPr>
          <w:ilvl w:val="0"/>
          <w:numId w:val="7"/>
        </w:numPr>
        <w:jc w:val="both"/>
        <w:rPr>
          <w:rFonts w:ascii="Arial" w:hAnsi="Arial" w:cs="Arial"/>
          <w:sz w:val="20"/>
          <w:szCs w:val="20"/>
        </w:rPr>
      </w:pPr>
      <w:r w:rsidRPr="00442E50">
        <w:rPr>
          <w:rFonts w:ascii="Arial" w:hAnsi="Arial" w:cs="Arial"/>
          <w:sz w:val="20"/>
          <w:szCs w:val="20"/>
        </w:rPr>
        <w:t>Dirección de Salud Mental</w:t>
      </w:r>
    </w:p>
    <w:p w:rsidR="00BD08D7" w:rsidRPr="00442E50" w:rsidRDefault="00BD08D7" w:rsidP="00BD08D7">
      <w:pPr>
        <w:pStyle w:val="Prrafodelista"/>
        <w:numPr>
          <w:ilvl w:val="0"/>
          <w:numId w:val="7"/>
        </w:numPr>
        <w:jc w:val="both"/>
        <w:rPr>
          <w:rFonts w:ascii="Arial" w:hAnsi="Arial" w:cs="Arial"/>
          <w:sz w:val="20"/>
          <w:szCs w:val="20"/>
        </w:rPr>
      </w:pPr>
      <w:r w:rsidRPr="00442E50">
        <w:rPr>
          <w:rFonts w:ascii="Arial" w:hAnsi="Arial" w:cs="Arial"/>
          <w:sz w:val="20"/>
          <w:szCs w:val="20"/>
        </w:rPr>
        <w:t>Dirección de Extensión de Cobertura</w:t>
      </w:r>
    </w:p>
    <w:p w:rsidR="00BD08D7" w:rsidRPr="00442E50" w:rsidRDefault="00BD08D7" w:rsidP="00BD08D7">
      <w:pPr>
        <w:pStyle w:val="Prrafodelista"/>
        <w:ind w:left="360"/>
        <w:jc w:val="both"/>
        <w:rPr>
          <w:rFonts w:ascii="Arial" w:hAnsi="Arial" w:cs="Arial"/>
          <w:sz w:val="20"/>
          <w:szCs w:val="20"/>
        </w:rPr>
      </w:pPr>
    </w:p>
    <w:p w:rsidR="00BD08D7" w:rsidRPr="00442E50" w:rsidRDefault="00BD08D7" w:rsidP="00BD08D7">
      <w:pPr>
        <w:pStyle w:val="Prrafodelista"/>
        <w:ind w:left="360"/>
        <w:jc w:val="both"/>
        <w:rPr>
          <w:rFonts w:ascii="Arial" w:hAnsi="Arial" w:cs="Arial"/>
          <w:sz w:val="20"/>
          <w:szCs w:val="20"/>
        </w:rPr>
      </w:pPr>
    </w:p>
    <w:p w:rsidR="00BD08D7" w:rsidRPr="00442E50" w:rsidRDefault="00BD08D7" w:rsidP="00BD08D7">
      <w:pPr>
        <w:pStyle w:val="Prrafodelista"/>
        <w:numPr>
          <w:ilvl w:val="1"/>
          <w:numId w:val="12"/>
        </w:numPr>
        <w:jc w:val="both"/>
        <w:rPr>
          <w:rFonts w:ascii="Arial" w:hAnsi="Arial" w:cs="Arial"/>
          <w:i/>
          <w:sz w:val="20"/>
          <w:szCs w:val="20"/>
        </w:rPr>
      </w:pPr>
      <w:r w:rsidRPr="00442E50">
        <w:rPr>
          <w:rFonts w:ascii="Arial" w:hAnsi="Arial" w:cs="Arial"/>
          <w:i/>
          <w:sz w:val="20"/>
          <w:szCs w:val="20"/>
        </w:rPr>
        <w:t>Director General de Protección contra Riesgos Sanitarios</w:t>
      </w:r>
    </w:p>
    <w:p w:rsidR="00BD08D7" w:rsidRPr="00442E50" w:rsidRDefault="00BD08D7" w:rsidP="00BD08D7">
      <w:pPr>
        <w:pStyle w:val="Prrafodelista"/>
        <w:numPr>
          <w:ilvl w:val="0"/>
          <w:numId w:val="8"/>
        </w:numPr>
        <w:ind w:left="426" w:hanging="426"/>
        <w:jc w:val="both"/>
        <w:rPr>
          <w:rFonts w:ascii="Arial" w:hAnsi="Arial" w:cs="Arial"/>
          <w:sz w:val="20"/>
          <w:szCs w:val="20"/>
        </w:rPr>
      </w:pPr>
      <w:r w:rsidRPr="00442E50">
        <w:rPr>
          <w:rFonts w:ascii="Arial" w:hAnsi="Arial" w:cs="Arial"/>
          <w:sz w:val="20"/>
          <w:szCs w:val="20"/>
        </w:rPr>
        <w:t xml:space="preserve">Dirección de Regulación y Fomento Sanitario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III.- Coordinador General de Administración y Finanzas</w:t>
      </w:r>
    </w:p>
    <w:p w:rsidR="00BD08D7" w:rsidRPr="00442E50" w:rsidRDefault="00BD08D7" w:rsidP="00BD08D7">
      <w:pPr>
        <w:pStyle w:val="Prrafodelista"/>
        <w:numPr>
          <w:ilvl w:val="1"/>
          <w:numId w:val="7"/>
        </w:numPr>
        <w:jc w:val="both"/>
        <w:rPr>
          <w:rFonts w:ascii="Arial" w:hAnsi="Arial" w:cs="Arial"/>
          <w:i/>
          <w:sz w:val="20"/>
          <w:szCs w:val="20"/>
        </w:rPr>
      </w:pPr>
      <w:r w:rsidRPr="00442E50">
        <w:rPr>
          <w:rFonts w:ascii="Arial" w:hAnsi="Arial" w:cs="Arial"/>
          <w:i/>
          <w:sz w:val="20"/>
          <w:szCs w:val="20"/>
        </w:rPr>
        <w:t>Director General de Administración</w:t>
      </w:r>
    </w:p>
    <w:p w:rsidR="00BD08D7" w:rsidRPr="00442E50" w:rsidRDefault="00BD08D7" w:rsidP="00BD08D7">
      <w:pPr>
        <w:pStyle w:val="Prrafodelista"/>
        <w:numPr>
          <w:ilvl w:val="0"/>
          <w:numId w:val="9"/>
        </w:numPr>
        <w:ind w:left="426" w:hanging="426"/>
        <w:jc w:val="both"/>
        <w:rPr>
          <w:rFonts w:ascii="Arial" w:hAnsi="Arial" w:cs="Arial"/>
          <w:sz w:val="20"/>
          <w:szCs w:val="20"/>
        </w:rPr>
      </w:pPr>
      <w:r w:rsidRPr="00442E50">
        <w:rPr>
          <w:rFonts w:ascii="Arial" w:hAnsi="Arial" w:cs="Arial"/>
          <w:sz w:val="20"/>
          <w:szCs w:val="20"/>
        </w:rPr>
        <w:t>Dirección de Contabilidad y Seguimiento a Auditorías</w:t>
      </w:r>
    </w:p>
    <w:p w:rsidR="00BD08D7" w:rsidRPr="00442E50" w:rsidRDefault="00BD08D7" w:rsidP="00BD08D7">
      <w:pPr>
        <w:pStyle w:val="Prrafodelista"/>
        <w:numPr>
          <w:ilvl w:val="0"/>
          <w:numId w:val="9"/>
        </w:numPr>
        <w:ind w:left="426" w:hanging="426"/>
        <w:jc w:val="both"/>
        <w:rPr>
          <w:rFonts w:ascii="Arial" w:hAnsi="Arial" w:cs="Arial"/>
          <w:sz w:val="20"/>
          <w:szCs w:val="20"/>
        </w:rPr>
      </w:pPr>
      <w:r w:rsidRPr="00442E50">
        <w:rPr>
          <w:rFonts w:ascii="Arial" w:hAnsi="Arial" w:cs="Arial"/>
          <w:sz w:val="20"/>
          <w:szCs w:val="20"/>
        </w:rPr>
        <w:t>Dirección de Presupuesto y Recursos Financieros</w:t>
      </w:r>
    </w:p>
    <w:p w:rsidR="00BD08D7" w:rsidRPr="00442E50" w:rsidRDefault="00BD08D7" w:rsidP="00BD08D7">
      <w:pPr>
        <w:pStyle w:val="Prrafodelista"/>
        <w:numPr>
          <w:ilvl w:val="0"/>
          <w:numId w:val="9"/>
        </w:numPr>
        <w:ind w:left="426" w:hanging="426"/>
        <w:jc w:val="both"/>
        <w:rPr>
          <w:rFonts w:ascii="Arial" w:hAnsi="Arial" w:cs="Arial"/>
          <w:sz w:val="20"/>
          <w:szCs w:val="20"/>
        </w:rPr>
      </w:pPr>
      <w:r w:rsidRPr="00442E50">
        <w:rPr>
          <w:rFonts w:ascii="Arial" w:hAnsi="Arial" w:cs="Arial"/>
          <w:sz w:val="20"/>
          <w:szCs w:val="20"/>
        </w:rPr>
        <w:t>Dirección de Recursos Materiales y Servicios Generales</w:t>
      </w:r>
    </w:p>
    <w:p w:rsidR="00BD08D7" w:rsidRPr="00442E50" w:rsidRDefault="00BD08D7" w:rsidP="00BD08D7">
      <w:pPr>
        <w:jc w:val="both"/>
        <w:rPr>
          <w:rFonts w:ascii="Arial" w:hAnsi="Arial" w:cs="Arial"/>
          <w:sz w:val="20"/>
          <w:szCs w:val="20"/>
        </w:rPr>
      </w:pPr>
    </w:p>
    <w:p w:rsidR="00BD08D7" w:rsidRPr="00442E50" w:rsidRDefault="00BD08D7" w:rsidP="00BD08D7">
      <w:pPr>
        <w:pStyle w:val="Prrafodelista"/>
        <w:numPr>
          <w:ilvl w:val="1"/>
          <w:numId w:val="7"/>
        </w:numPr>
        <w:jc w:val="both"/>
        <w:rPr>
          <w:rFonts w:ascii="Arial" w:hAnsi="Arial" w:cs="Arial"/>
          <w:i/>
          <w:sz w:val="20"/>
          <w:szCs w:val="20"/>
        </w:rPr>
      </w:pPr>
      <w:r w:rsidRPr="00442E50">
        <w:rPr>
          <w:rFonts w:ascii="Arial" w:hAnsi="Arial" w:cs="Arial"/>
          <w:i/>
          <w:sz w:val="20"/>
          <w:szCs w:val="20"/>
        </w:rPr>
        <w:t>Director General de Recursos Humanos</w:t>
      </w:r>
    </w:p>
    <w:p w:rsidR="00BD08D7" w:rsidRPr="00442E50" w:rsidRDefault="00BD08D7" w:rsidP="00BD08D7">
      <w:pPr>
        <w:pStyle w:val="Prrafodelista"/>
        <w:numPr>
          <w:ilvl w:val="0"/>
          <w:numId w:val="10"/>
        </w:numPr>
        <w:jc w:val="both"/>
        <w:rPr>
          <w:rFonts w:ascii="Arial" w:hAnsi="Arial" w:cs="Arial"/>
          <w:sz w:val="20"/>
          <w:szCs w:val="20"/>
        </w:rPr>
      </w:pPr>
      <w:r w:rsidRPr="00442E50">
        <w:rPr>
          <w:rFonts w:ascii="Arial" w:hAnsi="Arial" w:cs="Arial"/>
          <w:sz w:val="20"/>
          <w:szCs w:val="20"/>
        </w:rPr>
        <w:t>Dirección de Desarrollo Humano</w:t>
      </w:r>
    </w:p>
    <w:p w:rsidR="00BD08D7" w:rsidRPr="00442E50" w:rsidRDefault="00BD08D7" w:rsidP="00BD08D7">
      <w:pPr>
        <w:pStyle w:val="Prrafodelista"/>
        <w:numPr>
          <w:ilvl w:val="0"/>
          <w:numId w:val="10"/>
        </w:numPr>
        <w:jc w:val="both"/>
        <w:rPr>
          <w:rFonts w:ascii="Arial" w:hAnsi="Arial" w:cs="Arial"/>
          <w:sz w:val="20"/>
          <w:szCs w:val="20"/>
        </w:rPr>
      </w:pPr>
      <w:r w:rsidRPr="00442E50">
        <w:rPr>
          <w:rFonts w:ascii="Arial" w:hAnsi="Arial" w:cs="Arial"/>
          <w:sz w:val="20"/>
          <w:szCs w:val="20"/>
        </w:rPr>
        <w:t xml:space="preserve">Dirección de Administración y Control de Servicios Personales </w:t>
      </w:r>
    </w:p>
    <w:p w:rsidR="00BD08D7" w:rsidRPr="00442E50" w:rsidRDefault="00BD08D7" w:rsidP="00BD08D7">
      <w:pPr>
        <w:jc w:val="both"/>
        <w:rPr>
          <w:rFonts w:ascii="Arial" w:hAnsi="Arial" w:cs="Arial"/>
          <w:sz w:val="20"/>
          <w:szCs w:val="20"/>
        </w:rPr>
      </w:pPr>
    </w:p>
    <w:p w:rsidR="00BD08D7" w:rsidRPr="00442E50" w:rsidRDefault="00BD08D7" w:rsidP="00BD08D7">
      <w:pPr>
        <w:pStyle w:val="Prrafodelista"/>
        <w:numPr>
          <w:ilvl w:val="1"/>
          <w:numId w:val="7"/>
        </w:numPr>
        <w:jc w:val="both"/>
        <w:rPr>
          <w:rFonts w:ascii="Arial" w:hAnsi="Arial" w:cs="Arial"/>
          <w:i/>
          <w:sz w:val="20"/>
          <w:szCs w:val="20"/>
        </w:rPr>
      </w:pPr>
      <w:r w:rsidRPr="00442E50">
        <w:rPr>
          <w:rFonts w:ascii="Arial" w:hAnsi="Arial" w:cs="Arial"/>
          <w:i/>
          <w:sz w:val="20"/>
          <w:szCs w:val="20"/>
        </w:rPr>
        <w:t xml:space="preserve">Director General de Planeación y Desarrollo </w:t>
      </w:r>
    </w:p>
    <w:p w:rsidR="00BD08D7" w:rsidRPr="00442E50" w:rsidRDefault="00BD08D7" w:rsidP="00BD08D7">
      <w:pPr>
        <w:pStyle w:val="Prrafodelista"/>
        <w:numPr>
          <w:ilvl w:val="0"/>
          <w:numId w:val="11"/>
        </w:numPr>
        <w:jc w:val="both"/>
        <w:rPr>
          <w:rFonts w:ascii="Arial" w:hAnsi="Arial" w:cs="Arial"/>
          <w:sz w:val="20"/>
          <w:szCs w:val="20"/>
        </w:rPr>
      </w:pPr>
      <w:r w:rsidRPr="00442E50">
        <w:rPr>
          <w:rFonts w:ascii="Arial" w:hAnsi="Arial" w:cs="Arial"/>
          <w:sz w:val="20"/>
          <w:szCs w:val="20"/>
        </w:rPr>
        <w:t>Dirección de Planeación</w:t>
      </w:r>
    </w:p>
    <w:p w:rsidR="00BD08D7" w:rsidRPr="00442E50" w:rsidRDefault="00BD08D7" w:rsidP="00BD08D7">
      <w:pPr>
        <w:pStyle w:val="Prrafodelista"/>
        <w:numPr>
          <w:ilvl w:val="0"/>
          <w:numId w:val="11"/>
        </w:numPr>
        <w:jc w:val="both"/>
        <w:rPr>
          <w:rFonts w:ascii="Arial" w:hAnsi="Arial" w:cs="Arial"/>
          <w:sz w:val="20"/>
          <w:szCs w:val="20"/>
        </w:rPr>
      </w:pPr>
      <w:r w:rsidRPr="00442E50">
        <w:rPr>
          <w:rFonts w:ascii="Arial" w:hAnsi="Arial" w:cs="Arial"/>
          <w:sz w:val="20"/>
          <w:szCs w:val="20"/>
        </w:rPr>
        <w:t>Dirección de Desarrollo Institucional</w:t>
      </w:r>
    </w:p>
    <w:p w:rsidR="00BD08D7" w:rsidRPr="00442E50" w:rsidRDefault="00BD08D7" w:rsidP="00BD08D7">
      <w:pPr>
        <w:pStyle w:val="Prrafodelista"/>
        <w:numPr>
          <w:ilvl w:val="0"/>
          <w:numId w:val="11"/>
        </w:numPr>
        <w:jc w:val="both"/>
        <w:rPr>
          <w:rFonts w:ascii="Arial" w:hAnsi="Arial" w:cs="Arial"/>
          <w:sz w:val="20"/>
          <w:szCs w:val="20"/>
        </w:rPr>
      </w:pPr>
      <w:r w:rsidRPr="00442E50">
        <w:rPr>
          <w:rFonts w:ascii="Arial" w:hAnsi="Arial" w:cs="Arial"/>
          <w:sz w:val="20"/>
          <w:szCs w:val="20"/>
        </w:rPr>
        <w:t xml:space="preserve">Dirección de Infraestructura </w:t>
      </w:r>
    </w:p>
    <w:p w:rsidR="00BD08D7" w:rsidRPr="00442E50" w:rsidRDefault="00BD08D7" w:rsidP="00BD08D7">
      <w:pPr>
        <w:pStyle w:val="Prrafodelista"/>
        <w:numPr>
          <w:ilvl w:val="0"/>
          <w:numId w:val="11"/>
        </w:numPr>
        <w:jc w:val="both"/>
        <w:rPr>
          <w:rFonts w:ascii="Arial" w:hAnsi="Arial" w:cs="Arial"/>
          <w:sz w:val="20"/>
          <w:szCs w:val="20"/>
        </w:rPr>
      </w:pPr>
      <w:r w:rsidRPr="00442E50">
        <w:rPr>
          <w:rFonts w:ascii="Arial" w:hAnsi="Arial" w:cs="Arial"/>
          <w:sz w:val="20"/>
          <w:szCs w:val="20"/>
        </w:rPr>
        <w:t>Dirección de Ingeniería Biomédica</w:t>
      </w:r>
    </w:p>
    <w:p w:rsidR="00BD08D7" w:rsidRPr="00442E50" w:rsidRDefault="00BD08D7" w:rsidP="00BD08D7">
      <w:pPr>
        <w:jc w:val="both"/>
        <w:rPr>
          <w:rFonts w:ascii="Arial" w:hAnsi="Arial" w:cs="Arial"/>
          <w:sz w:val="20"/>
          <w:szCs w:val="20"/>
          <w:u w:val="single"/>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g)</w:t>
      </w:r>
      <w:r w:rsidRPr="00442E50">
        <w:rPr>
          <w:rFonts w:ascii="Arial" w:hAnsi="Arial" w:cs="Arial"/>
          <w:sz w:val="20"/>
          <w:szCs w:val="20"/>
        </w:rPr>
        <w:t xml:space="preserve"> Fideicomisos, mandatos y análogos de los cuales es fideicomitente o fideicomisario.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de Salud Pública del Estado de Guanajuato no tiene suscrito algún Fideicomiso, mandato y/o análogo.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5. Bases de Preparación de los Estados Financieros:</w:t>
      </w: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Se informará sobre:</w:t>
      </w:r>
    </w:p>
    <w:p w:rsidR="00BD08D7" w:rsidRPr="00442E50" w:rsidRDefault="00BD08D7" w:rsidP="00BD08D7">
      <w:pPr>
        <w:jc w:val="both"/>
        <w:rPr>
          <w:rFonts w:ascii="Arial" w:hAnsi="Arial" w:cs="Arial"/>
          <w:sz w:val="20"/>
          <w:szCs w:val="20"/>
        </w:rPr>
      </w:pPr>
      <w:r w:rsidRPr="00442E50">
        <w:rPr>
          <w:rFonts w:ascii="Arial" w:hAnsi="Arial" w:cs="Arial"/>
          <w:b/>
          <w:sz w:val="20"/>
          <w:szCs w:val="20"/>
        </w:rPr>
        <w:t>a)</w:t>
      </w:r>
      <w:r w:rsidRPr="00442E50">
        <w:rPr>
          <w:rFonts w:ascii="Arial" w:hAnsi="Arial" w:cs="Arial"/>
          <w:sz w:val="20"/>
          <w:szCs w:val="20"/>
        </w:rPr>
        <w:t xml:space="preserve"> Si se ha observado la normatividad emitida por el CONAC y las disposiciones legales aplicables.</w:t>
      </w:r>
    </w:p>
    <w:p w:rsidR="00BD08D7" w:rsidRPr="00442E50" w:rsidRDefault="00BD08D7" w:rsidP="00BD08D7">
      <w:pPr>
        <w:jc w:val="both"/>
        <w:rPr>
          <w:rFonts w:ascii="Arial" w:hAnsi="Arial" w:cs="Arial"/>
          <w:sz w:val="20"/>
          <w:szCs w:val="20"/>
        </w:rPr>
      </w:pPr>
      <w:r w:rsidRPr="00442E50">
        <w:rPr>
          <w:rFonts w:ascii="Arial" w:hAnsi="Arial" w:cs="Arial"/>
          <w:sz w:val="20"/>
          <w:szCs w:val="20"/>
        </w:rPr>
        <w:t>Los Estados Financieros del Instituto de salud Pública del Estado de Guanajuato, correspondientes al cuarto trimestre del presente año y que conformarán la cuenta pública,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b)</w:t>
      </w:r>
      <w:r w:rsidRPr="00442E50">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El costo histórico de las operaciones corresponde al monto erogado para su adquisición conforme a la documentación contable original justificativa y comprobatoria.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Lo anterior de acuerdo a lo establecido en el Postulado Básico de Contabilidad Gubernamental:</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IX.- Valuación.</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c)</w:t>
      </w:r>
      <w:r w:rsidRPr="00442E50">
        <w:rPr>
          <w:rFonts w:ascii="Arial" w:hAnsi="Arial" w:cs="Arial"/>
          <w:sz w:val="20"/>
          <w:szCs w:val="20"/>
        </w:rPr>
        <w:t xml:space="preserve"> Postulados básicos.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El Marco Conceptual de Contabilidad Gubernamental (MCCG), es la base del Sistema de Contabilidad Gubernamental del Instituto, constituyéndose en el referente teórico que define, delimita, interrelaciona e integra de forma lógico-deductiva sus objetivos y fundamentos. </w:t>
      </w:r>
      <w:proofErr w:type="gramStart"/>
      <w:r w:rsidRPr="00442E50">
        <w:rPr>
          <w:rFonts w:ascii="Arial" w:hAnsi="Arial" w:cs="Arial"/>
          <w:sz w:val="20"/>
          <w:szCs w:val="20"/>
        </w:rPr>
        <w:t>Además</w:t>
      </w:r>
      <w:proofErr w:type="gramEnd"/>
      <w:r w:rsidRPr="00442E50">
        <w:rPr>
          <w:rFonts w:ascii="Arial" w:hAnsi="Arial" w:cs="Arial"/>
          <w:sz w:val="20"/>
          <w:szCs w:val="20"/>
        </w:rPr>
        <w:t xml:space="preserve"> establece los criterios necesarios para el desarrollo de normas, valuación, contabilización, obtención y presentación de información contable y presupuestaria, en forma clara, oportuna, confiable y comparable, para satisfacer las necesidades de los usuarios.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lastRenderedPageBreak/>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BD08D7" w:rsidRPr="00442E50" w:rsidRDefault="00BD08D7" w:rsidP="00BD08D7">
      <w:pPr>
        <w:jc w:val="both"/>
        <w:rPr>
          <w:rFonts w:ascii="Arial" w:hAnsi="Arial" w:cs="Arial"/>
          <w:sz w:val="20"/>
          <w:szCs w:val="20"/>
          <w:u w:val="single"/>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d)</w:t>
      </w:r>
      <w:r w:rsidRPr="00442E50">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de Salud Pública del Estado de Guanajuato, no utilizó normatividad supletoria en el registro de sus operaciones, ni en la elaboración de los Estados Financieros.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e)</w:t>
      </w:r>
      <w:r w:rsidRPr="00442E50">
        <w:rPr>
          <w:rFonts w:ascii="Arial" w:hAnsi="Arial" w:cs="Arial"/>
          <w:sz w:val="20"/>
          <w:szCs w:val="20"/>
        </w:rPr>
        <w:t xml:space="preserve"> Para las entidades que por primera vez estén implementando </w:t>
      </w:r>
      <w:proofErr w:type="gramStart"/>
      <w:r w:rsidRPr="00442E50">
        <w:rPr>
          <w:rFonts w:ascii="Arial" w:hAnsi="Arial" w:cs="Arial"/>
          <w:sz w:val="20"/>
          <w:szCs w:val="20"/>
        </w:rPr>
        <w:t>la base devengado</w:t>
      </w:r>
      <w:proofErr w:type="gramEnd"/>
      <w:r w:rsidRPr="00442E50">
        <w:rPr>
          <w:rFonts w:ascii="Arial" w:hAnsi="Arial" w:cs="Arial"/>
          <w:sz w:val="20"/>
          <w:szCs w:val="20"/>
        </w:rPr>
        <w:t xml:space="preserve"> de acuerdo a la Ley de Contabilidad, deberán:</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*Revelar las nuevas políticas de reconocimiento:</w:t>
      </w: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El Instituto implementó </w:t>
      </w:r>
      <w:proofErr w:type="gramStart"/>
      <w:r w:rsidRPr="00442E50">
        <w:rPr>
          <w:rFonts w:ascii="Arial" w:hAnsi="Arial" w:cs="Arial"/>
          <w:sz w:val="20"/>
          <w:szCs w:val="20"/>
        </w:rPr>
        <w:t>la base devengado</w:t>
      </w:r>
      <w:proofErr w:type="gramEnd"/>
      <w:r w:rsidRPr="00442E50">
        <w:rPr>
          <w:rFonts w:ascii="Arial" w:hAnsi="Arial" w:cs="Arial"/>
          <w:sz w:val="20"/>
          <w:szCs w:val="20"/>
        </w:rPr>
        <w:t xml:space="preserve"> de acuerdo a la Ley de Contabilidad Gubernamental a partir del ejercicio 2011.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*Plan de implementación:</w:t>
      </w: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El Instituto, implementó </w:t>
      </w:r>
      <w:proofErr w:type="gramStart"/>
      <w:r w:rsidRPr="00442E50">
        <w:rPr>
          <w:rFonts w:ascii="Arial" w:hAnsi="Arial" w:cs="Arial"/>
          <w:sz w:val="20"/>
          <w:szCs w:val="20"/>
        </w:rPr>
        <w:t>la base devengado</w:t>
      </w:r>
      <w:proofErr w:type="gramEnd"/>
      <w:r w:rsidRPr="00442E50">
        <w:rPr>
          <w:rFonts w:ascii="Arial" w:hAnsi="Arial" w:cs="Arial"/>
          <w:sz w:val="20"/>
          <w:szCs w:val="20"/>
        </w:rPr>
        <w:t xml:space="preserve"> de acuerdo a la Ley de Contabilidad Gubernamental desde el ejercicio 2011.</w:t>
      </w:r>
    </w:p>
    <w:p w:rsidR="00BD08D7" w:rsidRPr="00442E50" w:rsidRDefault="00BD08D7" w:rsidP="00BD08D7">
      <w:pPr>
        <w:jc w:val="both"/>
        <w:rPr>
          <w:rFonts w:ascii="Arial" w:hAnsi="Arial" w:cs="Arial"/>
          <w:sz w:val="20"/>
          <w:szCs w:val="20"/>
        </w:rPr>
      </w:pPr>
      <w:r w:rsidRPr="00442E50">
        <w:rPr>
          <w:rFonts w:ascii="Arial" w:hAnsi="Arial" w:cs="Arial"/>
          <w:sz w:val="20"/>
          <w:szCs w:val="20"/>
        </w:rPr>
        <w:t>*Revelar los cambios en las políticas, la clasificación y medición de las mismas, así como su impacto en la información financiera:</w:t>
      </w: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El Instituto implementó </w:t>
      </w:r>
      <w:proofErr w:type="gramStart"/>
      <w:r w:rsidRPr="00442E50">
        <w:rPr>
          <w:rFonts w:ascii="Arial" w:hAnsi="Arial" w:cs="Arial"/>
          <w:sz w:val="20"/>
          <w:szCs w:val="20"/>
        </w:rPr>
        <w:t>la base devengado</w:t>
      </w:r>
      <w:proofErr w:type="gramEnd"/>
      <w:r w:rsidRPr="00442E50">
        <w:rPr>
          <w:rFonts w:ascii="Arial" w:hAnsi="Arial" w:cs="Arial"/>
          <w:sz w:val="20"/>
          <w:szCs w:val="20"/>
        </w:rPr>
        <w:t xml:space="preserve"> de acuerdo a la Ley de Contabilidad Gubernamental a partir del ejercicio 2011, lo que permitió que la información financiera plasmada en los Estados Financieros pueda ser comparada tomando como base las cifras del citado ejercicio contra los subsecuentes.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6. Políticas de Contabilidad Significativas:</w:t>
      </w:r>
    </w:p>
    <w:p w:rsidR="00BD08D7" w:rsidRPr="00442E50" w:rsidRDefault="00BD08D7" w:rsidP="00BD08D7">
      <w:pPr>
        <w:jc w:val="both"/>
        <w:rPr>
          <w:rFonts w:ascii="Arial" w:hAnsi="Arial" w:cs="Arial"/>
          <w:sz w:val="20"/>
          <w:szCs w:val="20"/>
        </w:rPr>
      </w:pPr>
      <w:r w:rsidRPr="00442E50">
        <w:rPr>
          <w:rFonts w:ascii="Arial" w:hAnsi="Arial" w:cs="Arial"/>
          <w:sz w:val="20"/>
          <w:szCs w:val="20"/>
        </w:rPr>
        <w:t>Se informará sobre:</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a)</w:t>
      </w:r>
      <w:r w:rsidRPr="00442E50">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ha realizado actualizaciones del valor de los activos, pasivos y Hacienda Pública/Patrimonio.</w:t>
      </w: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b)</w:t>
      </w:r>
      <w:r w:rsidRPr="00442E50">
        <w:rPr>
          <w:rFonts w:ascii="Arial" w:hAnsi="Arial" w:cs="Arial"/>
          <w:sz w:val="20"/>
          <w:szCs w:val="20"/>
        </w:rPr>
        <w:t xml:space="preserve"> Informar sobre la realización de operaciones en el extranjero y de sus efectos en la información financiera gubernamental:</w:t>
      </w:r>
    </w:p>
    <w:p w:rsidR="00BD08D7" w:rsidRPr="00442E50" w:rsidRDefault="00BD08D7" w:rsidP="00BD08D7">
      <w:pPr>
        <w:jc w:val="both"/>
        <w:rPr>
          <w:rFonts w:ascii="Arial" w:hAnsi="Arial" w:cs="Arial"/>
          <w:sz w:val="20"/>
          <w:szCs w:val="20"/>
        </w:rPr>
      </w:pPr>
      <w:r w:rsidRPr="00442E50">
        <w:rPr>
          <w:rFonts w:ascii="Arial" w:hAnsi="Arial" w:cs="Arial"/>
          <w:sz w:val="20"/>
          <w:szCs w:val="20"/>
        </w:rPr>
        <w:t>Esta nota no le aplica al Instituto, porque no realiza operaciones en el extranjero.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c)</w:t>
      </w:r>
      <w:r w:rsidRPr="00442E50">
        <w:rPr>
          <w:rFonts w:ascii="Arial" w:hAnsi="Arial" w:cs="Arial"/>
          <w:sz w:val="20"/>
          <w:szCs w:val="20"/>
        </w:rPr>
        <w:t xml:space="preserve"> Método de valuación de la inversión en acciones de Compañías subsidiarias no consolidadas y asociadas:</w:t>
      </w:r>
    </w:p>
    <w:p w:rsidR="00BD08D7" w:rsidRPr="00442E50" w:rsidRDefault="00BD08D7" w:rsidP="00BD08D7">
      <w:pPr>
        <w:jc w:val="both"/>
        <w:rPr>
          <w:rFonts w:ascii="Arial" w:hAnsi="Arial" w:cs="Arial"/>
          <w:sz w:val="20"/>
          <w:szCs w:val="20"/>
        </w:rPr>
      </w:pPr>
      <w:r w:rsidRPr="00442E50">
        <w:rPr>
          <w:rFonts w:ascii="Arial" w:hAnsi="Arial" w:cs="Arial"/>
          <w:sz w:val="20"/>
          <w:szCs w:val="20"/>
        </w:rPr>
        <w:t>Esta nota no le aplica al Instituto, porque no tiene inversiones en acciones de Compañías subsidiarias no consolidadas y asociadas.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d)</w:t>
      </w:r>
      <w:r w:rsidRPr="00442E50">
        <w:rPr>
          <w:rFonts w:ascii="Arial" w:hAnsi="Arial" w:cs="Arial"/>
          <w:sz w:val="20"/>
          <w:szCs w:val="20"/>
        </w:rPr>
        <w:t xml:space="preserve"> Sistema y método de valuación de inventarios y costo de lo vendido:</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es una Persona Moral Sin Fines de Lucro, que presta servicios de salud, y no se dedica a la compra-venta de bienes y servicios.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e)</w:t>
      </w:r>
      <w:r w:rsidRPr="00442E50">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BD08D7" w:rsidRPr="00442E50" w:rsidRDefault="00BD08D7" w:rsidP="00BD08D7">
      <w:pPr>
        <w:jc w:val="both"/>
        <w:rPr>
          <w:rFonts w:ascii="Arial" w:hAnsi="Arial" w:cs="Arial"/>
          <w:sz w:val="20"/>
          <w:szCs w:val="20"/>
        </w:rPr>
      </w:pPr>
      <w:r w:rsidRPr="00442E50">
        <w:rPr>
          <w:rFonts w:ascii="Arial" w:hAnsi="Arial" w:cs="Arial"/>
          <w:sz w:val="20"/>
          <w:szCs w:val="20"/>
        </w:rPr>
        <w:t>Esta nota no le aplica al Instituto, porque no tiene reserva actuarial.</w:t>
      </w:r>
    </w:p>
    <w:p w:rsidR="00BD08D7" w:rsidRPr="00442E50" w:rsidRDefault="00BD08D7" w:rsidP="00BD08D7">
      <w:pPr>
        <w:jc w:val="both"/>
        <w:rPr>
          <w:rFonts w:ascii="Arial" w:hAnsi="Arial" w:cs="Arial"/>
          <w:sz w:val="20"/>
          <w:szCs w:val="20"/>
        </w:rPr>
      </w:pPr>
      <w:r w:rsidRPr="00442E50">
        <w:rPr>
          <w:rFonts w:ascii="Arial" w:hAnsi="Arial" w:cs="Arial"/>
          <w:b/>
          <w:sz w:val="20"/>
          <w:szCs w:val="20"/>
        </w:rPr>
        <w:t>f)</w:t>
      </w:r>
      <w:r w:rsidRPr="00442E50">
        <w:rPr>
          <w:rFonts w:ascii="Arial" w:hAnsi="Arial" w:cs="Arial"/>
          <w:sz w:val="20"/>
          <w:szCs w:val="20"/>
        </w:rPr>
        <w:t xml:space="preserve"> Provisiones: objetivo de su creación, monto y plazo:</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tiene Provisiones registradas en su contabilidad.</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g)</w:t>
      </w:r>
      <w:r w:rsidRPr="00442E50">
        <w:rPr>
          <w:rFonts w:ascii="Arial" w:hAnsi="Arial" w:cs="Arial"/>
          <w:sz w:val="20"/>
          <w:szCs w:val="20"/>
        </w:rPr>
        <w:t xml:space="preserve"> Reservas: objetivo de su creación, monto y plazo:</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tiene Reservas registradas en su contabilidad.</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h)</w:t>
      </w:r>
      <w:r w:rsidRPr="00442E50">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i)</w:t>
      </w:r>
      <w:r w:rsidRPr="00442E50">
        <w:rPr>
          <w:rFonts w:ascii="Arial" w:hAnsi="Arial" w:cs="Arial"/>
          <w:sz w:val="20"/>
          <w:szCs w:val="20"/>
        </w:rPr>
        <w:t xml:space="preserve"> Reclasificaciones: Se deben revelar todos aquellos movimientos entre cuentas por efectos de cambios en los tipos de operaciones:</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 </w:t>
      </w:r>
    </w:p>
    <w:p w:rsidR="00BD08D7" w:rsidRPr="00442E50" w:rsidRDefault="00BD08D7" w:rsidP="00BD08D7">
      <w:pPr>
        <w:jc w:val="both"/>
        <w:rPr>
          <w:rFonts w:ascii="Arial" w:hAnsi="Arial" w:cs="Arial"/>
          <w:sz w:val="20"/>
          <w:szCs w:val="20"/>
        </w:rPr>
      </w:pPr>
      <w:r w:rsidRPr="00442E50">
        <w:rPr>
          <w:rFonts w:ascii="Arial" w:hAnsi="Arial" w:cs="Arial"/>
          <w:b/>
          <w:sz w:val="20"/>
          <w:szCs w:val="20"/>
        </w:rPr>
        <w:t>j)</w:t>
      </w:r>
      <w:r w:rsidRPr="00442E50">
        <w:rPr>
          <w:rFonts w:ascii="Arial" w:hAnsi="Arial" w:cs="Arial"/>
          <w:sz w:val="20"/>
          <w:szCs w:val="20"/>
        </w:rPr>
        <w:t xml:space="preserve"> Depuración y cancelación de saldos:</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7. Posición en Moneda Extranjera y Protección por Riesgo Cambiario:</w:t>
      </w:r>
    </w:p>
    <w:p w:rsidR="00BD08D7" w:rsidRPr="00442E50" w:rsidRDefault="00BD08D7" w:rsidP="00BD08D7">
      <w:pPr>
        <w:jc w:val="both"/>
        <w:rPr>
          <w:rFonts w:ascii="Arial" w:hAnsi="Arial" w:cs="Arial"/>
          <w:sz w:val="20"/>
          <w:szCs w:val="20"/>
        </w:rPr>
      </w:pPr>
      <w:r w:rsidRPr="00442E50">
        <w:rPr>
          <w:rFonts w:ascii="Arial" w:hAnsi="Arial" w:cs="Arial"/>
          <w:sz w:val="20"/>
          <w:szCs w:val="20"/>
        </w:rPr>
        <w:t>Se informará sobre:</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a)</w:t>
      </w:r>
      <w:r w:rsidRPr="00442E50">
        <w:rPr>
          <w:rFonts w:ascii="Arial" w:hAnsi="Arial" w:cs="Arial"/>
          <w:sz w:val="20"/>
          <w:szCs w:val="20"/>
        </w:rPr>
        <w:t xml:space="preserve"> Activos en moneda extranjera:</w:t>
      </w:r>
    </w:p>
    <w:p w:rsidR="00BD08D7" w:rsidRPr="00442E50" w:rsidRDefault="00BD08D7" w:rsidP="00BD08D7">
      <w:pPr>
        <w:jc w:val="both"/>
        <w:rPr>
          <w:rFonts w:ascii="Arial" w:hAnsi="Arial" w:cs="Arial"/>
          <w:sz w:val="20"/>
          <w:szCs w:val="20"/>
        </w:rPr>
      </w:pPr>
      <w:r w:rsidRPr="00442E50">
        <w:rPr>
          <w:rFonts w:ascii="Arial" w:hAnsi="Arial" w:cs="Arial"/>
          <w:sz w:val="20"/>
          <w:szCs w:val="20"/>
        </w:rPr>
        <w:t>Esta nota no le aplica al Instituto, porque no cuenta con activos valuados en moneda extranjera.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b)</w:t>
      </w:r>
      <w:r w:rsidRPr="00442E50">
        <w:rPr>
          <w:rFonts w:ascii="Arial" w:hAnsi="Arial" w:cs="Arial"/>
          <w:sz w:val="20"/>
          <w:szCs w:val="20"/>
        </w:rPr>
        <w:t xml:space="preserve"> Pasivos en moneda extranjera:</w:t>
      </w:r>
    </w:p>
    <w:p w:rsidR="00BD08D7" w:rsidRPr="00442E50" w:rsidRDefault="00BD08D7" w:rsidP="00BD08D7">
      <w:pPr>
        <w:jc w:val="both"/>
        <w:rPr>
          <w:rFonts w:ascii="Arial" w:hAnsi="Arial" w:cs="Arial"/>
          <w:sz w:val="20"/>
          <w:szCs w:val="20"/>
        </w:rPr>
      </w:pPr>
      <w:r w:rsidRPr="00442E50">
        <w:rPr>
          <w:rFonts w:ascii="Arial" w:hAnsi="Arial" w:cs="Arial"/>
          <w:sz w:val="20"/>
          <w:szCs w:val="20"/>
        </w:rPr>
        <w:t>Esta nota no le aplica al Instituto, porque no contrae obligaciones en moneda extranjera.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 xml:space="preserve">c) </w:t>
      </w:r>
      <w:r w:rsidRPr="00442E50">
        <w:rPr>
          <w:rFonts w:ascii="Arial" w:hAnsi="Arial" w:cs="Arial"/>
          <w:sz w:val="20"/>
          <w:szCs w:val="20"/>
        </w:rPr>
        <w:t>Posición en moneda extranjera:</w:t>
      </w:r>
    </w:p>
    <w:p w:rsidR="00BD08D7" w:rsidRPr="00442E50" w:rsidRDefault="00BD08D7" w:rsidP="00BD08D7">
      <w:pPr>
        <w:jc w:val="both"/>
        <w:rPr>
          <w:rFonts w:ascii="Arial" w:hAnsi="Arial" w:cs="Arial"/>
          <w:sz w:val="20"/>
          <w:szCs w:val="20"/>
        </w:rPr>
      </w:pPr>
      <w:r w:rsidRPr="00442E50">
        <w:rPr>
          <w:rFonts w:ascii="Arial" w:hAnsi="Arial" w:cs="Arial"/>
          <w:sz w:val="20"/>
          <w:szCs w:val="20"/>
        </w:rPr>
        <w:t>Esta nota no le aplica al Instituto, porque no tiene cuentas en moneda extranjera.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d)</w:t>
      </w:r>
      <w:r w:rsidRPr="00442E50">
        <w:rPr>
          <w:rFonts w:ascii="Arial" w:hAnsi="Arial" w:cs="Arial"/>
          <w:sz w:val="20"/>
          <w:szCs w:val="20"/>
        </w:rPr>
        <w:t xml:space="preserve"> Tipo de cambio:</w:t>
      </w:r>
    </w:p>
    <w:p w:rsidR="00BD08D7" w:rsidRPr="00442E50" w:rsidRDefault="00BD08D7" w:rsidP="00BD08D7">
      <w:pPr>
        <w:jc w:val="both"/>
        <w:rPr>
          <w:rFonts w:ascii="Arial" w:hAnsi="Arial" w:cs="Arial"/>
          <w:sz w:val="20"/>
          <w:szCs w:val="20"/>
        </w:rPr>
      </w:pPr>
      <w:r w:rsidRPr="00442E50">
        <w:rPr>
          <w:rFonts w:ascii="Arial" w:hAnsi="Arial" w:cs="Arial"/>
          <w:sz w:val="20"/>
          <w:szCs w:val="20"/>
        </w:rPr>
        <w:t>Esta nota no le aplica al Instituto, porque no tiene cuentas en moneda extranjera.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lastRenderedPageBreak/>
        <w:t xml:space="preserve">e) </w:t>
      </w:r>
      <w:r w:rsidRPr="00442E50">
        <w:rPr>
          <w:rFonts w:ascii="Arial" w:hAnsi="Arial" w:cs="Arial"/>
          <w:sz w:val="20"/>
          <w:szCs w:val="20"/>
        </w:rPr>
        <w:t>Equivalente en moneda nacional:</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Esta nota no le aplica al Instituto, porque no tiene cuentas en moneda extranjera.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8. Reporte Analítico del Activo: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Debe mostrar la siguiente información:</w:t>
      </w:r>
    </w:p>
    <w:p w:rsidR="00BD08D7" w:rsidRPr="00442E50" w:rsidRDefault="00BD08D7" w:rsidP="00BD08D7">
      <w:pPr>
        <w:jc w:val="both"/>
        <w:rPr>
          <w:rFonts w:ascii="Arial" w:hAnsi="Arial" w:cs="Arial"/>
          <w:sz w:val="20"/>
          <w:szCs w:val="20"/>
        </w:rPr>
      </w:pPr>
      <w:r w:rsidRPr="00442E50">
        <w:rPr>
          <w:rFonts w:ascii="Arial" w:hAnsi="Arial" w:cs="Arial"/>
          <w:b/>
          <w:sz w:val="20"/>
          <w:szCs w:val="20"/>
        </w:rPr>
        <w:t>a)</w:t>
      </w:r>
      <w:r w:rsidRPr="00442E50">
        <w:rPr>
          <w:rFonts w:ascii="Arial" w:hAnsi="Arial" w:cs="Arial"/>
          <w:sz w:val="20"/>
          <w:szCs w:val="20"/>
        </w:rPr>
        <w:t xml:space="preserve"> Vida útil o porcentajes de depreciación, deterioro o amortización utilizados en los diferentes tipos de activos:</w:t>
      </w:r>
    </w:p>
    <w:p w:rsidR="00BD08D7" w:rsidRPr="00442E50" w:rsidRDefault="00BD08D7" w:rsidP="00BD08D7">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45"/>
        <w:gridCol w:w="992"/>
      </w:tblGrid>
      <w:tr w:rsidR="00BD08D7" w:rsidRPr="00442E50" w:rsidTr="0041072B">
        <w:trPr>
          <w:trHeight w:val="900"/>
        </w:trPr>
        <w:tc>
          <w:tcPr>
            <w:tcW w:w="1128" w:type="dxa"/>
            <w:shd w:val="clear" w:color="000000" w:fill="BFBFBF"/>
            <w:vAlign w:val="center"/>
            <w:hideMark/>
          </w:tcPr>
          <w:p w:rsidR="00BD08D7" w:rsidRPr="00442E50" w:rsidRDefault="00BD08D7" w:rsidP="0041072B">
            <w:pPr>
              <w:jc w:val="center"/>
              <w:rPr>
                <w:rFonts w:ascii="Arial" w:hAnsi="Arial" w:cs="Arial"/>
                <w:b/>
                <w:bCs/>
                <w:color w:val="000000"/>
                <w:sz w:val="16"/>
                <w:szCs w:val="16"/>
              </w:rPr>
            </w:pPr>
            <w:r w:rsidRPr="00442E50">
              <w:rPr>
                <w:rFonts w:ascii="Arial" w:hAnsi="Arial" w:cs="Arial"/>
                <w:b/>
                <w:bCs/>
                <w:color w:val="000000"/>
                <w:sz w:val="16"/>
                <w:szCs w:val="16"/>
              </w:rPr>
              <w:t>Tipo de Bien</w:t>
            </w:r>
          </w:p>
        </w:tc>
        <w:tc>
          <w:tcPr>
            <w:tcW w:w="1167" w:type="dxa"/>
            <w:shd w:val="clear" w:color="000000" w:fill="BFBFBF"/>
            <w:vAlign w:val="center"/>
            <w:hideMark/>
          </w:tcPr>
          <w:p w:rsidR="00BD08D7" w:rsidRPr="00442E50" w:rsidRDefault="00BD08D7" w:rsidP="0041072B">
            <w:pPr>
              <w:jc w:val="center"/>
              <w:rPr>
                <w:rFonts w:ascii="Arial" w:hAnsi="Arial" w:cs="Arial"/>
                <w:b/>
                <w:bCs/>
                <w:color w:val="000000"/>
                <w:sz w:val="16"/>
                <w:szCs w:val="16"/>
              </w:rPr>
            </w:pPr>
            <w:r w:rsidRPr="00442E50">
              <w:rPr>
                <w:rFonts w:ascii="Arial" w:hAnsi="Arial" w:cs="Arial"/>
                <w:b/>
                <w:bCs/>
                <w:color w:val="000000"/>
                <w:sz w:val="16"/>
                <w:szCs w:val="16"/>
              </w:rPr>
              <w:t>Bienes Muebles/</w:t>
            </w:r>
            <w:r w:rsidRPr="00442E50">
              <w:rPr>
                <w:rFonts w:ascii="Arial" w:hAnsi="Arial" w:cs="Arial"/>
                <w:b/>
                <w:bCs/>
                <w:color w:val="000000"/>
                <w:sz w:val="16"/>
                <w:szCs w:val="16"/>
              </w:rPr>
              <w:br/>
              <w:t>Inmuebles</w:t>
            </w:r>
            <w:r w:rsidRPr="00442E50">
              <w:rPr>
                <w:rFonts w:ascii="Arial" w:hAnsi="Arial" w:cs="Arial"/>
                <w:b/>
                <w:bCs/>
                <w:color w:val="000000"/>
                <w:sz w:val="16"/>
                <w:szCs w:val="16"/>
              </w:rPr>
              <w:br/>
              <w:t>Neto</w:t>
            </w:r>
          </w:p>
        </w:tc>
        <w:tc>
          <w:tcPr>
            <w:tcW w:w="1175" w:type="dxa"/>
            <w:shd w:val="clear" w:color="000000" w:fill="BFBFBF"/>
            <w:vAlign w:val="center"/>
            <w:hideMark/>
          </w:tcPr>
          <w:p w:rsidR="00BD08D7" w:rsidRPr="00442E50" w:rsidRDefault="00BD08D7" w:rsidP="0041072B">
            <w:pPr>
              <w:jc w:val="center"/>
              <w:rPr>
                <w:rFonts w:ascii="Arial" w:hAnsi="Arial" w:cs="Arial"/>
                <w:b/>
                <w:bCs/>
                <w:color w:val="000000"/>
                <w:sz w:val="16"/>
                <w:szCs w:val="16"/>
              </w:rPr>
            </w:pPr>
            <w:r w:rsidRPr="00442E50">
              <w:rPr>
                <w:rFonts w:ascii="Arial" w:hAnsi="Arial" w:cs="Arial"/>
                <w:b/>
                <w:bCs/>
                <w:color w:val="000000"/>
                <w:sz w:val="16"/>
                <w:szCs w:val="16"/>
              </w:rPr>
              <w:t>Cuenta de Mayor</w:t>
            </w:r>
          </w:p>
        </w:tc>
        <w:tc>
          <w:tcPr>
            <w:tcW w:w="4195" w:type="dxa"/>
            <w:shd w:val="clear" w:color="000000" w:fill="BFBFBF"/>
            <w:vAlign w:val="center"/>
            <w:hideMark/>
          </w:tcPr>
          <w:p w:rsidR="00BD08D7" w:rsidRPr="00442E50" w:rsidRDefault="00BD08D7" w:rsidP="0041072B">
            <w:pPr>
              <w:jc w:val="center"/>
              <w:rPr>
                <w:rFonts w:ascii="Arial" w:hAnsi="Arial" w:cs="Arial"/>
                <w:b/>
                <w:bCs/>
                <w:color w:val="000000"/>
                <w:sz w:val="16"/>
                <w:szCs w:val="16"/>
              </w:rPr>
            </w:pPr>
            <w:r w:rsidRPr="00442E50">
              <w:rPr>
                <w:rFonts w:ascii="Arial" w:hAnsi="Arial" w:cs="Arial"/>
                <w:b/>
                <w:bCs/>
                <w:color w:val="000000"/>
                <w:sz w:val="16"/>
                <w:szCs w:val="16"/>
              </w:rPr>
              <w:t>Clasificación en los Estados Financieros</w:t>
            </w:r>
          </w:p>
        </w:tc>
        <w:tc>
          <w:tcPr>
            <w:tcW w:w="1134" w:type="dxa"/>
            <w:shd w:val="clear" w:color="000000" w:fill="BFBFBF"/>
            <w:vAlign w:val="center"/>
            <w:hideMark/>
          </w:tcPr>
          <w:p w:rsidR="00BD08D7" w:rsidRPr="00442E50" w:rsidRDefault="00BD08D7" w:rsidP="0041072B">
            <w:pPr>
              <w:jc w:val="center"/>
              <w:rPr>
                <w:rFonts w:ascii="Arial" w:hAnsi="Arial" w:cs="Arial"/>
                <w:b/>
                <w:bCs/>
                <w:color w:val="000000"/>
                <w:sz w:val="16"/>
                <w:szCs w:val="16"/>
              </w:rPr>
            </w:pPr>
            <w:r w:rsidRPr="00442E50">
              <w:rPr>
                <w:rFonts w:ascii="Arial" w:hAnsi="Arial" w:cs="Arial"/>
                <w:b/>
                <w:bCs/>
                <w:color w:val="000000"/>
                <w:sz w:val="16"/>
                <w:szCs w:val="16"/>
              </w:rPr>
              <w:t>% Depreciación Anual</w:t>
            </w:r>
          </w:p>
        </w:tc>
        <w:tc>
          <w:tcPr>
            <w:tcW w:w="992" w:type="dxa"/>
            <w:shd w:val="clear" w:color="000000" w:fill="BFBFBF"/>
            <w:vAlign w:val="center"/>
            <w:hideMark/>
          </w:tcPr>
          <w:p w:rsidR="00BD08D7" w:rsidRPr="00442E50" w:rsidRDefault="00BD08D7" w:rsidP="0041072B">
            <w:pPr>
              <w:jc w:val="center"/>
              <w:rPr>
                <w:rFonts w:ascii="Arial" w:hAnsi="Arial" w:cs="Arial"/>
                <w:b/>
                <w:bCs/>
                <w:color w:val="000000"/>
                <w:sz w:val="16"/>
                <w:szCs w:val="16"/>
              </w:rPr>
            </w:pPr>
            <w:r w:rsidRPr="00442E50">
              <w:rPr>
                <w:rFonts w:ascii="Arial" w:hAnsi="Arial" w:cs="Arial"/>
                <w:b/>
                <w:bCs/>
                <w:color w:val="000000"/>
                <w:sz w:val="16"/>
                <w:szCs w:val="16"/>
              </w:rPr>
              <w:t>Años vida útil</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123</w:t>
            </w:r>
          </w:p>
        </w:tc>
        <w:tc>
          <w:tcPr>
            <w:tcW w:w="1167"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1231</w:t>
            </w:r>
          </w:p>
        </w:tc>
        <w:tc>
          <w:tcPr>
            <w:tcW w:w="1175"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1231581001</w:t>
            </w:r>
          </w:p>
        </w:tc>
        <w:tc>
          <w:tcPr>
            <w:tcW w:w="4195" w:type="dxa"/>
            <w:shd w:val="clear" w:color="auto" w:fill="auto"/>
            <w:noWrap/>
            <w:vAlign w:val="bottom"/>
            <w:hideMark/>
          </w:tcPr>
          <w:p w:rsidR="00BD08D7" w:rsidRPr="00442E50" w:rsidRDefault="00BD08D7" w:rsidP="0041072B">
            <w:pPr>
              <w:rPr>
                <w:rFonts w:ascii="Arial" w:hAnsi="Arial" w:cs="Arial"/>
                <w:sz w:val="16"/>
                <w:szCs w:val="16"/>
              </w:rPr>
            </w:pPr>
            <w:r w:rsidRPr="00442E50">
              <w:rPr>
                <w:rFonts w:ascii="Arial" w:hAnsi="Arial" w:cs="Arial"/>
                <w:sz w:val="16"/>
                <w:szCs w:val="16"/>
              </w:rPr>
              <w:t>TERRENOS A VALOR HISTORICO</w:t>
            </w:r>
          </w:p>
        </w:tc>
        <w:tc>
          <w:tcPr>
            <w:tcW w:w="1134"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N/A</w:t>
            </w:r>
          </w:p>
        </w:tc>
        <w:tc>
          <w:tcPr>
            <w:tcW w:w="992"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N/A</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123</w:t>
            </w:r>
          </w:p>
        </w:tc>
        <w:tc>
          <w:tcPr>
            <w:tcW w:w="1167"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1233</w:t>
            </w:r>
          </w:p>
        </w:tc>
        <w:tc>
          <w:tcPr>
            <w:tcW w:w="1175"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1233583001</w:t>
            </w:r>
          </w:p>
        </w:tc>
        <w:tc>
          <w:tcPr>
            <w:tcW w:w="4195" w:type="dxa"/>
            <w:shd w:val="clear" w:color="auto" w:fill="auto"/>
            <w:noWrap/>
            <w:vAlign w:val="bottom"/>
            <w:hideMark/>
          </w:tcPr>
          <w:p w:rsidR="00BD08D7" w:rsidRPr="00442E50" w:rsidRDefault="00BD08D7" w:rsidP="0041072B">
            <w:pPr>
              <w:rPr>
                <w:rFonts w:ascii="Arial" w:hAnsi="Arial" w:cs="Arial"/>
                <w:sz w:val="16"/>
                <w:szCs w:val="16"/>
              </w:rPr>
            </w:pPr>
            <w:r w:rsidRPr="00442E50">
              <w:rPr>
                <w:rFonts w:ascii="Arial" w:hAnsi="Arial" w:cs="Arial"/>
                <w:sz w:val="16"/>
                <w:szCs w:val="16"/>
              </w:rPr>
              <w:t>EDIFICIOS A VALOR HISTORICO</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123</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1235</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1235261200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Edificación no habitacional</w:t>
            </w:r>
          </w:p>
        </w:tc>
        <w:tc>
          <w:tcPr>
            <w:tcW w:w="1134"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N/A</w:t>
            </w:r>
          </w:p>
        </w:tc>
        <w:tc>
          <w:tcPr>
            <w:tcW w:w="992"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N/A</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123</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1236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1236200001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CONSTRUCCIONES EN PROCESO EN BIENES PROPIOS</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N/A</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N/A</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123</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1236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1236200002</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CONSTRUCCIONES EN PROCESO BIENES PROPIOS AL CIERRE</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N/A</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N/A</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123</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1236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1236262200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Edificación no habitacional</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N/A</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N/A</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123</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1236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1236962001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 xml:space="preserve">CONSTRUCCIONES EN PROCESO BIENES </w:t>
            </w:r>
            <w:proofErr w:type="gramStart"/>
            <w:r w:rsidRPr="00442E50">
              <w:rPr>
                <w:rFonts w:ascii="Arial" w:hAnsi="Arial" w:cs="Arial"/>
                <w:color w:val="000000"/>
                <w:sz w:val="16"/>
                <w:szCs w:val="16"/>
              </w:rPr>
              <w:t>PROPIOS  EJER</w:t>
            </w:r>
            <w:proofErr w:type="gramEnd"/>
            <w:r w:rsidRPr="00442E50">
              <w:rPr>
                <w:rFonts w:ascii="Arial" w:hAnsi="Arial" w:cs="Arial"/>
                <w:color w:val="000000"/>
                <w:sz w:val="16"/>
                <w:szCs w:val="16"/>
              </w:rPr>
              <w:t xml:space="preserve"> ANT</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N/A</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N/A</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1241151100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MUEBLES DE OFICINA Y ESTANTERÍA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1241151101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MUEBLES DE OFICINA Y ESTANTERÍA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1241251200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MUEBLES, EXCEPTO DE OFICINA Y ESTANTERÍA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1241351500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 DE CÓMP. Y DE TECNOLOGÍAS DE LA INFORMACI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33%</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3</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1241351501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 DE CÓMP. Y DE TECNOLOGÍAS DE LA INFORMACI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33%</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3</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1241951900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OTROS MOBILIARIOS Y EQUIPOS DE ADMINISTRACIÓN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1241951901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OTROS MOBILIARIOS Y EQUIPOS DE ADMINISTRACIÓN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1242</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1242152100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EQUIPO Y APARATOS AUDIOVISUALES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1242</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1242252200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APARATOS DEPORTIVOS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1242</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1242352300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CÁMARAS FOTOGRÁFICAS Y DE VIDEO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1242</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1242952900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OTRO MOB. Y EQUIPO EDUCACIONAL Y RECREATIVO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1242</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1242952901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OTRO MOB. Y EQUIPO EDUCACIONAL Y RECREATIVO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1243</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1243153100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EQUIPO MÉDICO Y DE LABORATORIO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1243</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1243153101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EQUIPO MÉDICO Y DE LABORATORIO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1243</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1243253200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INSTRUMENTAL MÉDICO Y DE LABORATORIO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50%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lastRenderedPageBreak/>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1243</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1243253201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INSTRUMENTAL MÉDICO Y DE LABORATORIO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50%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1244154100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AUTOMÓVILES Y CAMIONES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4</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1244154101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AUTOMÓVILES Y CAMIONES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4</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1244254200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CARROCERÍAS Y REMOLQUES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4</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1244354301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EQUIPO AEROESPACIAL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1244954900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OTROS EQUIPOS DE TRANSPORTES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4</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1244954901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OTROS EQUIPOS DE TRANSPORTES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4</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1245</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1245055100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EQUIPO DE DEFENSA Y SEGURIDAD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1245</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1245055101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EQUIPO DE DEFENSA Y SEGURIDAD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1246156100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MAQUINARIA Y EQUIPO AGROPECUARIO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4</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1246156101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MAQUINARIA Y EQUIPO AGROPECUARIO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4</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1246256200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MAQUINARIA Y EQUIPO INDUSTRIAL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1246256201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MAQUINARIA Y EQUIPO INDUSTRIAL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4</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1246356300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MAQUINARIA Y EQUIPO DE CONSTRUCCIÓN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4</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1246456400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SISTEMA DE AIRE ACONDICIONADO, CALEFACCION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1246556500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EQUIPO DE COMUNICACIÓN Y TELECOMUNICACIÓN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17%</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6</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1246556501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EQUIPO DE COMUNICACIÓN Y TELECOMUNICACIÓN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17%</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6</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1246656600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 DE GENER. ELÉCTRICA, APARATOS Y ACCES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1246656601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EQ. DE GENER. ELÉCTRICA, APARATOS Y ACCES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5%</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20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1246756700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HERRAMIENTAS Y MÁQUINAS-HERRAMIENTA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1246756701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HERRAMIENTAS Y MÁQUINAS-HERRAMIENTA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17%</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6</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1246956900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OTROS EQUIPOS 2011</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10</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1246956901</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OTROS EQUIPOS 2010</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17%</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6</w:t>
            </w:r>
          </w:p>
        </w:tc>
      </w:tr>
      <w:tr w:rsidR="00BD08D7" w:rsidRPr="00442E50" w:rsidTr="0041072B">
        <w:trPr>
          <w:trHeight w:val="225"/>
        </w:trPr>
        <w:tc>
          <w:tcPr>
            <w:tcW w:w="1128" w:type="dxa"/>
            <w:shd w:val="clear" w:color="auto" w:fill="auto"/>
            <w:noWrap/>
            <w:vAlign w:val="bottom"/>
            <w:hideMark/>
          </w:tcPr>
          <w:p w:rsidR="00BD08D7" w:rsidRPr="00442E50" w:rsidRDefault="00BD08D7" w:rsidP="0041072B">
            <w:pPr>
              <w:jc w:val="center"/>
              <w:rPr>
                <w:rFonts w:ascii="Arial" w:hAnsi="Arial" w:cs="Arial"/>
                <w:sz w:val="16"/>
                <w:szCs w:val="16"/>
              </w:rPr>
            </w:pPr>
            <w:r w:rsidRPr="00442E50">
              <w:rPr>
                <w:rFonts w:ascii="Arial" w:hAnsi="Arial" w:cs="Arial"/>
                <w:sz w:val="16"/>
                <w:szCs w:val="16"/>
              </w:rPr>
              <w:t>124</w:t>
            </w:r>
          </w:p>
        </w:tc>
        <w:tc>
          <w:tcPr>
            <w:tcW w:w="1167"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w:t>
            </w:r>
          </w:p>
        </w:tc>
        <w:tc>
          <w:tcPr>
            <w:tcW w:w="1175"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1246959900</w:t>
            </w:r>
          </w:p>
        </w:tc>
        <w:tc>
          <w:tcPr>
            <w:tcW w:w="4195" w:type="dxa"/>
            <w:shd w:val="clear" w:color="auto" w:fill="auto"/>
            <w:noWrap/>
            <w:vAlign w:val="bottom"/>
            <w:hideMark/>
          </w:tcPr>
          <w:p w:rsidR="00BD08D7" w:rsidRPr="00442E50" w:rsidRDefault="00BD08D7" w:rsidP="0041072B">
            <w:pPr>
              <w:rPr>
                <w:rFonts w:ascii="Arial" w:hAnsi="Arial" w:cs="Arial"/>
                <w:color w:val="000000"/>
                <w:sz w:val="16"/>
                <w:szCs w:val="16"/>
              </w:rPr>
            </w:pPr>
            <w:r w:rsidRPr="00442E50">
              <w:rPr>
                <w:rFonts w:ascii="Arial" w:hAnsi="Arial" w:cs="Arial"/>
                <w:color w:val="000000"/>
                <w:sz w:val="16"/>
                <w:szCs w:val="16"/>
              </w:rPr>
              <w:t>BIENES MUEBLES EN TRÁNSITO</w:t>
            </w:r>
          </w:p>
        </w:tc>
        <w:tc>
          <w:tcPr>
            <w:tcW w:w="1134"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N/A</w:t>
            </w:r>
          </w:p>
        </w:tc>
        <w:tc>
          <w:tcPr>
            <w:tcW w:w="992" w:type="dxa"/>
            <w:shd w:val="clear" w:color="auto" w:fill="auto"/>
            <w:noWrap/>
            <w:vAlign w:val="bottom"/>
            <w:hideMark/>
          </w:tcPr>
          <w:p w:rsidR="00BD08D7" w:rsidRPr="00442E50" w:rsidRDefault="00BD08D7" w:rsidP="0041072B">
            <w:pPr>
              <w:jc w:val="center"/>
              <w:rPr>
                <w:rFonts w:ascii="Arial" w:hAnsi="Arial" w:cs="Arial"/>
                <w:color w:val="000000"/>
                <w:sz w:val="16"/>
                <w:szCs w:val="16"/>
              </w:rPr>
            </w:pPr>
            <w:r w:rsidRPr="00442E50">
              <w:rPr>
                <w:rFonts w:ascii="Arial" w:hAnsi="Arial" w:cs="Arial"/>
                <w:color w:val="000000"/>
                <w:sz w:val="16"/>
                <w:szCs w:val="16"/>
              </w:rPr>
              <w:t>N/A</w:t>
            </w:r>
          </w:p>
        </w:tc>
      </w:tr>
    </w:tbl>
    <w:p w:rsidR="00BD08D7" w:rsidRPr="00442E50" w:rsidRDefault="00BD08D7" w:rsidP="00BD08D7">
      <w:pPr>
        <w:jc w:val="both"/>
        <w:rPr>
          <w:rFonts w:ascii="Arial" w:hAnsi="Arial" w:cs="Arial"/>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b)</w:t>
      </w:r>
      <w:r w:rsidRPr="00442E50">
        <w:rPr>
          <w:rFonts w:ascii="Arial" w:hAnsi="Arial" w:cs="Arial"/>
          <w:sz w:val="20"/>
          <w:szCs w:val="20"/>
        </w:rPr>
        <w:t xml:space="preserve"> Cambios en el porcentaje de depreciación o valor residual de los activos: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u w:val="single"/>
        </w:rPr>
      </w:pPr>
      <w:r w:rsidRPr="00442E50">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c)</w:t>
      </w:r>
      <w:r w:rsidRPr="00442E50">
        <w:rPr>
          <w:rFonts w:ascii="Arial" w:hAnsi="Arial" w:cs="Arial"/>
          <w:sz w:val="20"/>
          <w:szCs w:val="20"/>
        </w:rPr>
        <w:t xml:space="preserve"> Importe de los gastos capitalizados en el ejercicio, tanto financieros como de investigación y desarrollo:</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realizó gastos de investigación y desarrollo capitalizados en el ejercicio.</w:t>
      </w: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d)</w:t>
      </w:r>
      <w:r w:rsidRPr="00442E50">
        <w:rPr>
          <w:rFonts w:ascii="Arial" w:hAnsi="Arial" w:cs="Arial"/>
          <w:sz w:val="20"/>
          <w:szCs w:val="20"/>
        </w:rPr>
        <w:t xml:space="preserve"> Riesgos por tipo de cambio o tipo de interés de las inversiones financieras:</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realizó inversiones en moneda extranjera ni de ningún tipo de inversión.</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 xml:space="preserve">e) </w:t>
      </w:r>
      <w:r w:rsidRPr="00442E50">
        <w:rPr>
          <w:rFonts w:ascii="Arial" w:hAnsi="Arial" w:cs="Arial"/>
          <w:sz w:val="20"/>
          <w:szCs w:val="20"/>
        </w:rPr>
        <w:t>Valor activado en el ejercicio de los bienes construidos por la entidad:</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tiene bienes inmovilizados.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f)</w:t>
      </w:r>
      <w:r w:rsidRPr="00442E50">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tiene bienes en garantía, señalados en embargos, litigios, títulos de inversiones entregados en garantías, baja significativa del valor de inversiones financieras.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g)</w:t>
      </w:r>
      <w:r w:rsidRPr="00442E50">
        <w:rPr>
          <w:rFonts w:ascii="Arial" w:hAnsi="Arial" w:cs="Arial"/>
          <w:sz w:val="20"/>
          <w:szCs w:val="20"/>
        </w:rPr>
        <w:t xml:space="preserve"> Desmantelamiento de Activos, procedimientos, implicaciones, efectos contables:</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en el periodo no tuvo desmantelamiento de Activos con implicaciones o efectos contables.</w:t>
      </w:r>
    </w:p>
    <w:p w:rsidR="00BD08D7" w:rsidRPr="00442E50" w:rsidRDefault="00BD08D7" w:rsidP="00BD08D7">
      <w:pPr>
        <w:jc w:val="both"/>
        <w:rPr>
          <w:rFonts w:ascii="Arial" w:hAnsi="Arial" w:cs="Arial"/>
          <w:sz w:val="20"/>
          <w:szCs w:val="20"/>
        </w:rPr>
      </w:pPr>
      <w:r w:rsidRPr="00442E50">
        <w:rPr>
          <w:rFonts w:ascii="Arial" w:hAnsi="Arial" w:cs="Arial"/>
          <w:b/>
          <w:sz w:val="20"/>
          <w:szCs w:val="20"/>
        </w:rPr>
        <w:t>h)</w:t>
      </w:r>
      <w:r w:rsidRPr="00442E50">
        <w:rPr>
          <w:rFonts w:ascii="Arial" w:hAnsi="Arial" w:cs="Arial"/>
          <w:sz w:val="20"/>
          <w:szCs w:val="20"/>
        </w:rPr>
        <w:t xml:space="preserve"> Administración de activos; planeación con el objetivo de que el ente los utilice de manera más efectiva: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BD08D7" w:rsidRPr="00442E50" w:rsidRDefault="00BD08D7" w:rsidP="00BD08D7">
      <w:pPr>
        <w:jc w:val="both"/>
        <w:rPr>
          <w:rFonts w:ascii="Arial" w:hAnsi="Arial" w:cs="Arial"/>
          <w:sz w:val="20"/>
          <w:szCs w:val="20"/>
        </w:rPr>
      </w:pPr>
      <w:r w:rsidRPr="00442E50">
        <w:rPr>
          <w:rFonts w:ascii="Arial" w:hAnsi="Arial" w:cs="Arial"/>
          <w:sz w:val="20"/>
          <w:szCs w:val="20"/>
        </w:rPr>
        <w:t>Adicionalmente, se deben incluir las explicaciones de las principales variaciones en el activo, en cuadros comparativos como sigue:</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a)</w:t>
      </w:r>
      <w:r w:rsidRPr="00442E50">
        <w:rPr>
          <w:rFonts w:ascii="Arial" w:hAnsi="Arial" w:cs="Arial"/>
          <w:sz w:val="20"/>
          <w:szCs w:val="20"/>
        </w:rPr>
        <w:t xml:space="preserve"> Inversiones en valores:</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tiene Inversiones en valores.</w:t>
      </w: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b)</w:t>
      </w:r>
      <w:r w:rsidRPr="00442E50">
        <w:rPr>
          <w:rFonts w:ascii="Arial" w:hAnsi="Arial" w:cs="Arial"/>
          <w:sz w:val="20"/>
          <w:szCs w:val="20"/>
        </w:rPr>
        <w:t xml:space="preserve"> Patrimonio de Organismos descentralizados de Control Presupuestario Indirecto:</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tiene participación en el patrimonio de algún Organismo descentralizado de Control Presupuestario Indirecto.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c)</w:t>
      </w:r>
      <w:r w:rsidRPr="00442E50">
        <w:rPr>
          <w:rFonts w:ascii="Arial" w:hAnsi="Arial" w:cs="Arial"/>
          <w:sz w:val="20"/>
          <w:szCs w:val="20"/>
        </w:rPr>
        <w:t xml:space="preserve"> Inversiones en empresas de participación mayoritaria:</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tiene inversiones en empresas de participación mayoritaria.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d)</w:t>
      </w:r>
      <w:r w:rsidRPr="00442E50">
        <w:rPr>
          <w:rFonts w:ascii="Arial" w:hAnsi="Arial" w:cs="Arial"/>
          <w:sz w:val="20"/>
          <w:szCs w:val="20"/>
        </w:rPr>
        <w:t xml:space="preserve"> Inversiones en empresas de participación minoritaria:</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tiene inversiones en empresas de participación minoritaria.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e)</w:t>
      </w:r>
      <w:r w:rsidRPr="00442E50">
        <w:rPr>
          <w:rFonts w:ascii="Arial" w:hAnsi="Arial" w:cs="Arial"/>
          <w:sz w:val="20"/>
          <w:szCs w:val="20"/>
        </w:rPr>
        <w:t xml:space="preserve"> Patrimonio de organismos descentralizados de control presupuestario directo, según corresponda:</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tiene inversiones en organismos descentralizados de control presupuestario directo.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9. Fideicomisos, Mandatos y Análogos:</w:t>
      </w:r>
    </w:p>
    <w:p w:rsidR="00BD08D7" w:rsidRPr="00442E50" w:rsidRDefault="00BD08D7" w:rsidP="00BD08D7">
      <w:pPr>
        <w:jc w:val="both"/>
        <w:rPr>
          <w:rFonts w:ascii="Arial" w:hAnsi="Arial" w:cs="Arial"/>
          <w:sz w:val="20"/>
          <w:szCs w:val="20"/>
        </w:rPr>
      </w:pPr>
      <w:r w:rsidRPr="00442E50">
        <w:rPr>
          <w:rFonts w:ascii="Arial" w:hAnsi="Arial" w:cs="Arial"/>
          <w:sz w:val="20"/>
          <w:szCs w:val="20"/>
        </w:rPr>
        <w:t>Se deberá informar:</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a)</w:t>
      </w:r>
      <w:r w:rsidRPr="00442E50">
        <w:rPr>
          <w:rFonts w:ascii="Arial" w:hAnsi="Arial" w:cs="Arial"/>
          <w:sz w:val="20"/>
          <w:szCs w:val="20"/>
        </w:rPr>
        <w:t xml:space="preserve"> Por ramo administrativo que los reporta:</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participa en algún fideicomiso, mandato y otros análogos.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b)</w:t>
      </w:r>
      <w:r w:rsidRPr="00442E50">
        <w:rPr>
          <w:rFonts w:ascii="Arial" w:hAnsi="Arial" w:cs="Arial"/>
          <w:sz w:val="20"/>
          <w:szCs w:val="20"/>
        </w:rPr>
        <w:t xml:space="preserve"> Enlistar los de mayor monto de disponibilidad, relacionando aquéllos que conforman el 80% de las disponibilidades:</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participa en algún fideicomiso, mandato y otros análogos.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10. Reporte de la Recaudación:</w:t>
      </w:r>
    </w:p>
    <w:p w:rsidR="00BD08D7" w:rsidRPr="00442E50" w:rsidRDefault="00BD08D7" w:rsidP="00BD08D7">
      <w:pPr>
        <w:jc w:val="both"/>
        <w:rPr>
          <w:rFonts w:ascii="Arial" w:hAnsi="Arial" w:cs="Arial"/>
          <w:sz w:val="20"/>
          <w:szCs w:val="20"/>
        </w:rPr>
      </w:pPr>
    </w:p>
    <w:p w:rsidR="00BD08D7" w:rsidRPr="00442E50" w:rsidRDefault="00BD08D7" w:rsidP="00BD08D7">
      <w:pPr>
        <w:pBdr>
          <w:bottom w:val="single" w:sz="12" w:space="0" w:color="auto"/>
        </w:pBdr>
        <w:jc w:val="both"/>
        <w:rPr>
          <w:rFonts w:ascii="Arial" w:hAnsi="Arial" w:cs="Arial"/>
          <w:sz w:val="20"/>
          <w:szCs w:val="20"/>
        </w:rPr>
      </w:pPr>
      <w:r w:rsidRPr="00442E50">
        <w:rPr>
          <w:rFonts w:ascii="Arial" w:hAnsi="Arial" w:cs="Arial"/>
          <w:b/>
          <w:sz w:val="20"/>
          <w:szCs w:val="20"/>
        </w:rPr>
        <w:t>a)</w:t>
      </w:r>
      <w:r w:rsidRPr="00442E50">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BD08D7" w:rsidRPr="00442E50" w:rsidRDefault="00BD08D7" w:rsidP="00BD08D7">
      <w:pPr>
        <w:pBdr>
          <w:bottom w:val="single" w:sz="12" w:space="0" w:color="auto"/>
        </w:pBdr>
        <w:jc w:val="both"/>
        <w:rPr>
          <w:rFonts w:ascii="Arial" w:hAnsi="Arial" w:cs="Arial"/>
          <w:sz w:val="20"/>
          <w:szCs w:val="20"/>
        </w:rPr>
      </w:pPr>
    </w:p>
    <w:p w:rsidR="00BD08D7" w:rsidRPr="00442E50" w:rsidRDefault="00BD08D7" w:rsidP="00BD08D7">
      <w:pPr>
        <w:pBdr>
          <w:bottom w:val="single" w:sz="12" w:space="0" w:color="auto"/>
        </w:pBdr>
        <w:jc w:val="both"/>
        <w:rPr>
          <w:rFonts w:ascii="Arial" w:hAnsi="Arial" w:cs="Arial"/>
          <w:sz w:val="20"/>
          <w:szCs w:val="20"/>
        </w:rPr>
      </w:pPr>
    </w:p>
    <w:p w:rsidR="00BD08D7" w:rsidRPr="00442E50" w:rsidRDefault="00BD08D7" w:rsidP="00BD08D7">
      <w:pPr>
        <w:pBdr>
          <w:bottom w:val="single" w:sz="12" w:space="0" w:color="auto"/>
        </w:pBdr>
        <w:jc w:val="both"/>
        <w:rPr>
          <w:rFonts w:ascii="Arial" w:hAnsi="Arial" w:cs="Arial"/>
          <w:sz w:val="20"/>
          <w:szCs w:val="20"/>
        </w:rPr>
      </w:pPr>
    </w:p>
    <w:p w:rsidR="00BD08D7" w:rsidRPr="00442E50" w:rsidRDefault="00BD08D7" w:rsidP="00BD08D7">
      <w:pPr>
        <w:pBdr>
          <w:bottom w:val="single" w:sz="12" w:space="0" w:color="auto"/>
        </w:pBdr>
        <w:jc w:val="both"/>
        <w:rPr>
          <w:rFonts w:ascii="Arial" w:hAnsi="Arial" w:cs="Arial"/>
          <w:sz w:val="20"/>
          <w:szCs w:val="20"/>
        </w:rPr>
      </w:pPr>
    </w:p>
    <w:p w:rsidR="00BD08D7" w:rsidRPr="00442E50" w:rsidRDefault="00BD08D7" w:rsidP="00BD08D7">
      <w:pPr>
        <w:pBdr>
          <w:bottom w:val="single" w:sz="12" w:space="0" w:color="auto"/>
        </w:pBdr>
        <w:jc w:val="both"/>
        <w:rPr>
          <w:rFonts w:ascii="Arial" w:hAnsi="Arial" w:cs="Arial"/>
          <w:sz w:val="20"/>
          <w:szCs w:val="20"/>
        </w:rPr>
      </w:pPr>
    </w:p>
    <w:p w:rsidR="00BD08D7" w:rsidRPr="00442E50" w:rsidRDefault="00BD08D7" w:rsidP="00BD08D7">
      <w:pPr>
        <w:pBdr>
          <w:bottom w:val="single" w:sz="12" w:space="0" w:color="auto"/>
        </w:pBdr>
        <w:jc w:val="both"/>
        <w:rPr>
          <w:rFonts w:ascii="Arial" w:hAnsi="Arial" w:cs="Arial"/>
          <w:sz w:val="20"/>
          <w:szCs w:val="20"/>
        </w:rPr>
      </w:pPr>
    </w:p>
    <w:p w:rsidR="00BD08D7" w:rsidRPr="00442E50" w:rsidRDefault="00BD08D7" w:rsidP="00BD08D7">
      <w:pPr>
        <w:pBdr>
          <w:bottom w:val="single" w:sz="12" w:space="0" w:color="auto"/>
        </w:pBdr>
        <w:jc w:val="both"/>
        <w:rPr>
          <w:rFonts w:ascii="Arial" w:hAnsi="Arial" w:cs="Arial"/>
          <w:sz w:val="20"/>
          <w:szCs w:val="20"/>
        </w:rPr>
      </w:pPr>
      <w:r w:rsidRPr="00442E50">
        <w:rPr>
          <w:rFonts w:ascii="Arial" w:hAnsi="Arial" w:cs="Arial"/>
          <w:sz w:val="20"/>
          <w:szCs w:val="20"/>
        </w:rPr>
        <w:t>Reporte de Ingresos Recibidos durante el Ejercicio:</w:t>
      </w:r>
    </w:p>
    <w:p w:rsidR="00BD08D7" w:rsidRPr="00442E50" w:rsidRDefault="00BD08D7" w:rsidP="00BD08D7">
      <w:pPr>
        <w:pBdr>
          <w:bottom w:val="single" w:sz="12" w:space="0" w:color="auto"/>
        </w:pBdr>
        <w:jc w:val="both"/>
        <w:rPr>
          <w:rFonts w:ascii="Arial" w:hAnsi="Arial" w:cs="Arial"/>
          <w:sz w:val="20"/>
          <w:szCs w:val="20"/>
        </w:rPr>
      </w:pPr>
      <w:r w:rsidRPr="00442E50">
        <w:rPr>
          <w:rFonts w:ascii="Arial" w:hAnsi="Arial" w:cs="Arial"/>
          <w:noProof/>
        </w:rPr>
        <w:lastRenderedPageBreak/>
        <w:drawing>
          <wp:inline distT="0" distB="0" distL="0" distR="0" wp14:anchorId="4A34CB17" wp14:editId="66600846">
            <wp:extent cx="8690610" cy="5443899"/>
            <wp:effectExtent l="0" t="0" r="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0610" cy="5443899"/>
                    </a:xfrm>
                    <a:prstGeom prst="rect">
                      <a:avLst/>
                    </a:prstGeom>
                    <a:noFill/>
                    <a:ln>
                      <a:noFill/>
                    </a:ln>
                  </pic:spPr>
                </pic:pic>
              </a:graphicData>
            </a:graphic>
          </wp:inline>
        </w:drawing>
      </w:r>
    </w:p>
    <w:p w:rsidR="00BD08D7" w:rsidRPr="00442E50" w:rsidRDefault="00BD08D7" w:rsidP="00BD08D7">
      <w:pPr>
        <w:pBdr>
          <w:bottom w:val="single" w:sz="12" w:space="0" w:color="auto"/>
        </w:pBdr>
        <w:jc w:val="both"/>
        <w:rPr>
          <w:rFonts w:ascii="Arial" w:hAnsi="Arial" w:cs="Arial"/>
          <w:sz w:val="20"/>
          <w:szCs w:val="20"/>
        </w:rPr>
      </w:pPr>
    </w:p>
    <w:p w:rsidR="00BD08D7" w:rsidRPr="00442E50" w:rsidRDefault="00BD08D7" w:rsidP="00BD08D7">
      <w:pPr>
        <w:pBdr>
          <w:bottom w:val="single" w:sz="12" w:space="0" w:color="auto"/>
        </w:pBd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b)</w:t>
      </w:r>
      <w:r w:rsidRPr="00442E50">
        <w:rPr>
          <w:rFonts w:ascii="Arial" w:hAnsi="Arial" w:cs="Arial"/>
          <w:sz w:val="20"/>
          <w:szCs w:val="20"/>
        </w:rPr>
        <w:t xml:space="preserve"> Proyección de la recaudación e ingresos en el mediano plazo:</w:t>
      </w:r>
    </w:p>
    <w:p w:rsidR="00BD08D7" w:rsidRPr="00442E50" w:rsidRDefault="00BD08D7" w:rsidP="00BD08D7">
      <w:pPr>
        <w:pBdr>
          <w:bottom w:val="single" w:sz="12" w:space="0" w:color="auto"/>
        </w:pBdr>
        <w:jc w:val="both"/>
        <w:rPr>
          <w:rFonts w:ascii="Arial" w:hAnsi="Arial" w:cs="Arial"/>
          <w:sz w:val="20"/>
          <w:szCs w:val="20"/>
        </w:rPr>
      </w:pPr>
      <w:r w:rsidRPr="00442E50">
        <w:rPr>
          <w:rFonts w:ascii="Arial" w:hAnsi="Arial" w:cs="Arial"/>
          <w:sz w:val="20"/>
          <w:szCs w:val="20"/>
        </w:rPr>
        <w:t>Reporte de Ingresos por Recaudar en el Ejercicio</w:t>
      </w:r>
    </w:p>
    <w:p w:rsidR="00BD08D7" w:rsidRPr="00442E50" w:rsidRDefault="00BD08D7" w:rsidP="00BD08D7">
      <w:pPr>
        <w:pBdr>
          <w:bottom w:val="single" w:sz="12" w:space="0" w:color="auto"/>
        </w:pBdr>
        <w:jc w:val="both"/>
        <w:rPr>
          <w:rFonts w:ascii="Arial" w:hAnsi="Arial" w:cs="Arial"/>
          <w:sz w:val="20"/>
          <w:szCs w:val="20"/>
        </w:rPr>
      </w:pPr>
    </w:p>
    <w:p w:rsidR="00BD08D7" w:rsidRPr="00442E50" w:rsidRDefault="00BD08D7" w:rsidP="00BD08D7">
      <w:pPr>
        <w:pBdr>
          <w:bottom w:val="single" w:sz="12" w:space="0" w:color="auto"/>
        </w:pBdr>
        <w:jc w:val="both"/>
        <w:rPr>
          <w:rFonts w:ascii="Arial" w:hAnsi="Arial" w:cs="Arial"/>
          <w:sz w:val="20"/>
          <w:szCs w:val="20"/>
        </w:rPr>
      </w:pPr>
      <w:r w:rsidRPr="00442E50">
        <w:rPr>
          <w:rFonts w:ascii="Arial" w:hAnsi="Arial" w:cs="Arial"/>
          <w:noProof/>
        </w:rPr>
        <w:drawing>
          <wp:inline distT="0" distB="0" distL="0" distR="0" wp14:anchorId="0D2A4AE3" wp14:editId="2A8797B2">
            <wp:extent cx="8689340" cy="512795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449" cy="5138052"/>
                    </a:xfrm>
                    <a:prstGeom prst="rect">
                      <a:avLst/>
                    </a:prstGeom>
                    <a:noFill/>
                    <a:ln>
                      <a:noFill/>
                    </a:ln>
                  </pic:spPr>
                </pic:pic>
              </a:graphicData>
            </a:graphic>
          </wp:inline>
        </w:drawing>
      </w:r>
    </w:p>
    <w:p w:rsidR="00BD08D7" w:rsidRPr="00442E50" w:rsidRDefault="00BD08D7" w:rsidP="00BD08D7">
      <w:pPr>
        <w:pBdr>
          <w:bottom w:val="single" w:sz="12" w:space="0" w:color="auto"/>
        </w:pBdr>
        <w:jc w:val="both"/>
        <w:rPr>
          <w:rFonts w:ascii="Arial" w:hAnsi="Arial" w:cs="Arial"/>
          <w:sz w:val="20"/>
          <w:szCs w:val="20"/>
        </w:rPr>
      </w:pP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11. Información sobre la Deuda y el Reporte Analítico de la Deuda:</w:t>
      </w:r>
    </w:p>
    <w:p w:rsidR="00BD08D7" w:rsidRPr="00442E50" w:rsidRDefault="00BD08D7" w:rsidP="00BD08D7">
      <w:pPr>
        <w:jc w:val="both"/>
        <w:rPr>
          <w:rFonts w:ascii="Arial" w:hAnsi="Arial" w:cs="Arial"/>
          <w:sz w:val="20"/>
          <w:szCs w:val="20"/>
        </w:rPr>
      </w:pPr>
      <w:r w:rsidRPr="00442E50">
        <w:rPr>
          <w:rFonts w:ascii="Arial" w:hAnsi="Arial" w:cs="Arial"/>
          <w:b/>
          <w:sz w:val="20"/>
          <w:szCs w:val="20"/>
        </w:rPr>
        <w:lastRenderedPageBreak/>
        <w:t>a)</w:t>
      </w:r>
      <w:r w:rsidRPr="00442E50">
        <w:rPr>
          <w:rFonts w:ascii="Arial" w:hAnsi="Arial" w:cs="Arial"/>
          <w:sz w:val="20"/>
          <w:szCs w:val="20"/>
        </w:rPr>
        <w:t xml:space="preserve"> Utilizar al menos los siguientes indicadores: deuda respecto al PIB y deuda respecto a la recaudación tomando, como mínimo, un periodo igual o menor a 5 años.</w:t>
      </w:r>
    </w:p>
    <w:p w:rsidR="00BD08D7" w:rsidRPr="00442E50" w:rsidRDefault="00BD08D7" w:rsidP="00BD08D7">
      <w:pPr>
        <w:jc w:val="both"/>
        <w:rPr>
          <w:rFonts w:ascii="Arial" w:hAnsi="Arial" w:cs="Arial"/>
          <w:sz w:val="20"/>
          <w:szCs w:val="20"/>
        </w:rPr>
      </w:pPr>
      <w:r w:rsidRPr="00442E50">
        <w:rPr>
          <w:rFonts w:ascii="Arial" w:hAnsi="Arial" w:cs="Arial"/>
          <w:sz w:val="20"/>
          <w:szCs w:val="20"/>
        </w:rPr>
        <w:t>El Instituto no está facultado para contraer deuda.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b)</w:t>
      </w:r>
      <w:r w:rsidRPr="00442E50">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BD08D7" w:rsidRPr="00442E50" w:rsidRDefault="00BD08D7" w:rsidP="00BD08D7">
      <w:pPr>
        <w:jc w:val="both"/>
        <w:rPr>
          <w:rFonts w:ascii="Arial" w:hAnsi="Arial" w:cs="Arial"/>
          <w:sz w:val="20"/>
          <w:szCs w:val="20"/>
        </w:rPr>
      </w:pPr>
      <w:r w:rsidRPr="00442E50">
        <w:rPr>
          <w:rFonts w:ascii="Arial" w:hAnsi="Arial" w:cs="Arial"/>
          <w:sz w:val="20"/>
          <w:szCs w:val="20"/>
        </w:rPr>
        <w:t>Esta nota no le aplica al Instituto, porque no está facultado para contraer deuda.</w:t>
      </w:r>
    </w:p>
    <w:p w:rsidR="00BD08D7" w:rsidRPr="00442E50" w:rsidRDefault="00BD08D7" w:rsidP="00BD08D7">
      <w:pPr>
        <w:jc w:val="both"/>
        <w:rPr>
          <w:rFonts w:ascii="Arial" w:hAnsi="Arial" w:cs="Arial"/>
          <w:b/>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12. Calificaciones otorgadas:</w:t>
      </w:r>
    </w:p>
    <w:p w:rsidR="00BD08D7" w:rsidRPr="00442E50" w:rsidRDefault="00BD08D7" w:rsidP="00BD08D7">
      <w:pPr>
        <w:jc w:val="both"/>
        <w:rPr>
          <w:rFonts w:ascii="Arial" w:hAnsi="Arial" w:cs="Arial"/>
          <w:sz w:val="20"/>
          <w:szCs w:val="20"/>
        </w:rPr>
      </w:pPr>
      <w:r w:rsidRPr="00442E50">
        <w:rPr>
          <w:rFonts w:ascii="Arial" w:hAnsi="Arial" w:cs="Arial"/>
          <w:sz w:val="20"/>
          <w:szCs w:val="20"/>
        </w:rPr>
        <w:t>Informar, tanto del ente público como cualquier transacción realizada, que haya sido sujeta a una calificación crediticia:</w:t>
      </w:r>
    </w:p>
    <w:p w:rsidR="00BD08D7" w:rsidRPr="00442E50" w:rsidRDefault="00BD08D7" w:rsidP="00BD08D7">
      <w:pPr>
        <w:jc w:val="both"/>
        <w:rPr>
          <w:rFonts w:ascii="Arial" w:hAnsi="Arial" w:cs="Arial"/>
          <w:sz w:val="20"/>
          <w:szCs w:val="20"/>
        </w:rPr>
      </w:pPr>
      <w:r w:rsidRPr="00442E50">
        <w:rPr>
          <w:rFonts w:ascii="Arial" w:hAnsi="Arial" w:cs="Arial"/>
          <w:sz w:val="20"/>
          <w:szCs w:val="20"/>
        </w:rPr>
        <w:t>Todas las operaciones del Instituto están basadas en un presupuesto autorizado ya sea por el Congreso Federal o el Congreso Estatal.</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13. Proceso de Mejora:</w:t>
      </w:r>
    </w:p>
    <w:p w:rsidR="00BD08D7" w:rsidRPr="00442E50" w:rsidRDefault="00BD08D7" w:rsidP="00BD08D7">
      <w:pPr>
        <w:jc w:val="both"/>
        <w:rPr>
          <w:rFonts w:ascii="Arial" w:hAnsi="Arial" w:cs="Arial"/>
          <w:sz w:val="20"/>
          <w:szCs w:val="20"/>
        </w:rPr>
      </w:pPr>
      <w:r w:rsidRPr="00442E50">
        <w:rPr>
          <w:rFonts w:ascii="Arial" w:hAnsi="Arial" w:cs="Arial"/>
          <w:sz w:val="20"/>
          <w:szCs w:val="20"/>
        </w:rPr>
        <w:t>Se informará de:</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a)</w:t>
      </w:r>
      <w:r w:rsidRPr="00442E50">
        <w:rPr>
          <w:rFonts w:ascii="Arial" w:hAnsi="Arial" w:cs="Arial"/>
          <w:sz w:val="20"/>
          <w:szCs w:val="20"/>
        </w:rPr>
        <w:t xml:space="preserve"> Principales Políticas de control interno: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p>
    <w:p w:rsidR="00BD08D7" w:rsidRPr="00442E50" w:rsidRDefault="00BD08D7" w:rsidP="00BD08D7">
      <w:pPr>
        <w:pStyle w:val="Prrafodelista"/>
        <w:numPr>
          <w:ilvl w:val="0"/>
          <w:numId w:val="13"/>
        </w:numPr>
        <w:jc w:val="both"/>
        <w:rPr>
          <w:rFonts w:ascii="Arial" w:hAnsi="Arial" w:cs="Arial"/>
          <w:sz w:val="20"/>
          <w:szCs w:val="20"/>
        </w:rPr>
      </w:pPr>
      <w:r w:rsidRPr="00442E50">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BD08D7" w:rsidRPr="00442E50" w:rsidRDefault="00BD08D7" w:rsidP="00BD08D7">
      <w:pPr>
        <w:pStyle w:val="Prrafodelista"/>
        <w:numPr>
          <w:ilvl w:val="0"/>
          <w:numId w:val="13"/>
        </w:numPr>
        <w:jc w:val="both"/>
        <w:rPr>
          <w:rFonts w:ascii="Arial" w:hAnsi="Arial" w:cs="Arial"/>
          <w:sz w:val="20"/>
          <w:szCs w:val="20"/>
        </w:rPr>
      </w:pPr>
      <w:r w:rsidRPr="00442E50">
        <w:rPr>
          <w:rFonts w:ascii="Arial" w:hAnsi="Arial" w:cs="Arial"/>
          <w:sz w:val="20"/>
          <w:szCs w:val="20"/>
        </w:rPr>
        <w:t>Contribuir con la transparencia de la gestión y rendición de cuentas mediante la generación de instrumentos y mecanismos de control, evaluación y autoevaluación.</w:t>
      </w:r>
    </w:p>
    <w:p w:rsidR="00BD08D7" w:rsidRPr="00442E50" w:rsidRDefault="00BD08D7" w:rsidP="00BD08D7">
      <w:pPr>
        <w:pStyle w:val="Prrafodelista"/>
        <w:numPr>
          <w:ilvl w:val="0"/>
          <w:numId w:val="13"/>
        </w:numPr>
        <w:jc w:val="both"/>
        <w:rPr>
          <w:rFonts w:ascii="Arial" w:hAnsi="Arial" w:cs="Arial"/>
          <w:sz w:val="20"/>
          <w:szCs w:val="20"/>
        </w:rPr>
      </w:pPr>
      <w:r w:rsidRPr="00442E50">
        <w:rPr>
          <w:rFonts w:ascii="Arial" w:hAnsi="Arial" w:cs="Arial"/>
          <w:sz w:val="20"/>
          <w:szCs w:val="20"/>
        </w:rPr>
        <w:t>Promover la eficiencia, eficacia y congruencia en la operación a través de un Sistema de Control Interno Institucional.</w:t>
      </w:r>
    </w:p>
    <w:p w:rsidR="00BD08D7" w:rsidRPr="00442E50" w:rsidRDefault="00BD08D7" w:rsidP="00BD08D7">
      <w:pPr>
        <w:pStyle w:val="Prrafodelista"/>
        <w:numPr>
          <w:ilvl w:val="0"/>
          <w:numId w:val="13"/>
        </w:numPr>
        <w:jc w:val="both"/>
        <w:rPr>
          <w:rFonts w:ascii="Arial" w:hAnsi="Arial" w:cs="Arial"/>
          <w:sz w:val="20"/>
          <w:szCs w:val="20"/>
        </w:rPr>
      </w:pPr>
      <w:r w:rsidRPr="00442E50">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BD08D7" w:rsidRPr="00442E50" w:rsidRDefault="00BD08D7" w:rsidP="00BD08D7">
      <w:pPr>
        <w:pStyle w:val="Prrafodelista"/>
        <w:numPr>
          <w:ilvl w:val="0"/>
          <w:numId w:val="13"/>
        </w:numPr>
        <w:jc w:val="both"/>
        <w:rPr>
          <w:rFonts w:ascii="Arial" w:hAnsi="Arial" w:cs="Arial"/>
          <w:sz w:val="20"/>
          <w:szCs w:val="20"/>
        </w:rPr>
      </w:pPr>
      <w:r w:rsidRPr="00442E50">
        <w:rPr>
          <w:rFonts w:ascii="Arial" w:hAnsi="Arial" w:cs="Arial"/>
          <w:sz w:val="20"/>
          <w:szCs w:val="20"/>
        </w:rPr>
        <w:t>Realizar en forma permanente procesos de mejora, renovación y actualización en concordancia con las transformaciones institucionales y retos del entorno.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b/>
          <w:sz w:val="20"/>
          <w:szCs w:val="20"/>
        </w:rPr>
        <w:t>b)</w:t>
      </w:r>
      <w:r w:rsidRPr="00442E50">
        <w:rPr>
          <w:rFonts w:ascii="Arial" w:hAnsi="Arial" w:cs="Arial"/>
          <w:sz w:val="20"/>
          <w:szCs w:val="20"/>
        </w:rPr>
        <w:t xml:space="preserve"> Medidas de desempeño financiero, metas y alcance:</w:t>
      </w:r>
    </w:p>
    <w:p w:rsidR="00BD08D7" w:rsidRPr="00442E50" w:rsidRDefault="00BD08D7" w:rsidP="00BD08D7">
      <w:pPr>
        <w:jc w:val="both"/>
        <w:rPr>
          <w:rFonts w:ascii="Arial" w:hAnsi="Arial" w:cs="Arial"/>
          <w:sz w:val="20"/>
          <w:szCs w:val="20"/>
        </w:rPr>
      </w:pPr>
      <w:r w:rsidRPr="00442E50">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14. Información por Segmentos:</w:t>
      </w:r>
    </w:p>
    <w:p w:rsidR="00BD08D7" w:rsidRPr="00442E50" w:rsidRDefault="00BD08D7" w:rsidP="00BD08D7">
      <w:pPr>
        <w:jc w:val="both"/>
        <w:rPr>
          <w:rFonts w:ascii="Arial" w:hAnsi="Arial" w:cs="Arial"/>
          <w:sz w:val="20"/>
          <w:szCs w:val="20"/>
        </w:rPr>
      </w:pPr>
      <w:r w:rsidRPr="00442E50">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lastRenderedPageBreak/>
        <w:t>Consecuentemente, esta información contribuye al análisis más preciso de la situación financiera, grados y fuentes de riesgo y crecimiento potencial de negocio.</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 el cual forma parte de los Estados Financieros correspondientes a este periodo.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15. Eventos Posteriores al Cierre:</w:t>
      </w:r>
    </w:p>
    <w:p w:rsidR="00BD08D7" w:rsidRPr="00442E50" w:rsidRDefault="00BD08D7" w:rsidP="00BD08D7">
      <w:pPr>
        <w:jc w:val="both"/>
        <w:rPr>
          <w:rFonts w:ascii="Arial" w:hAnsi="Arial" w:cs="Arial"/>
          <w:sz w:val="20"/>
          <w:szCs w:val="20"/>
        </w:rPr>
      </w:pPr>
      <w:r w:rsidRPr="00442E50">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42E50">
        <w:rPr>
          <w:rFonts w:ascii="Arial" w:hAnsi="Arial" w:cs="Arial"/>
          <w:sz w:val="20"/>
          <w:szCs w:val="20"/>
        </w:rPr>
        <w:cr/>
      </w: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El Instituto realizó inversiones en la compra de equipo e insumos médicos que permiten otorgar servicios de salud a los pacientes infectados con el Coronavirus COVID-19 con los recursos disponibles.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16. Partes Relacionadas:</w:t>
      </w:r>
    </w:p>
    <w:p w:rsidR="00BD08D7" w:rsidRPr="00442E50" w:rsidRDefault="00BD08D7" w:rsidP="00BD08D7">
      <w:pPr>
        <w:jc w:val="both"/>
        <w:rPr>
          <w:rFonts w:ascii="Arial" w:hAnsi="Arial" w:cs="Arial"/>
          <w:sz w:val="20"/>
          <w:szCs w:val="20"/>
        </w:rPr>
      </w:pPr>
      <w:r w:rsidRPr="00442E50">
        <w:rPr>
          <w:rFonts w:ascii="Arial" w:hAnsi="Arial" w:cs="Arial"/>
          <w:sz w:val="20"/>
          <w:szCs w:val="20"/>
        </w:rPr>
        <w:t>Se debe establecer por escrito que no existen partes relacionadas que pudieran ejercer influencia significativa sobre la toma de decisiones financieras y operativas:</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 xml:space="preserve">El Instituto no tiene celebrado convenios de colaboración con otra entidad gubernamental o privada. </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b/>
          <w:sz w:val="20"/>
          <w:szCs w:val="20"/>
        </w:rPr>
      </w:pPr>
      <w:r w:rsidRPr="00442E50">
        <w:rPr>
          <w:rFonts w:ascii="Arial" w:hAnsi="Arial" w:cs="Arial"/>
          <w:b/>
          <w:sz w:val="20"/>
          <w:szCs w:val="20"/>
        </w:rPr>
        <w:t>17. Responsabilidad Sobre la Presentación Razonable de la Información Contable:</w:t>
      </w:r>
    </w:p>
    <w:p w:rsidR="00BD08D7" w:rsidRPr="00442E50" w:rsidRDefault="00BD08D7" w:rsidP="00BD08D7">
      <w:pPr>
        <w:jc w:val="both"/>
        <w:rPr>
          <w:rFonts w:ascii="Arial" w:hAnsi="Arial" w:cs="Arial"/>
          <w:sz w:val="20"/>
          <w:szCs w:val="20"/>
        </w:rPr>
      </w:pPr>
      <w:r w:rsidRPr="00442E50">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BD08D7" w:rsidRPr="00442E50" w:rsidRDefault="00BD08D7" w:rsidP="00BD08D7">
      <w:pPr>
        <w:jc w:val="both"/>
        <w:rPr>
          <w:rFonts w:ascii="Arial" w:hAnsi="Arial" w:cs="Arial"/>
          <w:sz w:val="20"/>
          <w:szCs w:val="20"/>
        </w:rPr>
      </w:pPr>
    </w:p>
    <w:p w:rsidR="00BD08D7" w:rsidRPr="00442E50" w:rsidRDefault="00BD08D7" w:rsidP="00BD08D7">
      <w:pPr>
        <w:jc w:val="both"/>
        <w:rPr>
          <w:rFonts w:ascii="Arial" w:hAnsi="Arial" w:cs="Arial"/>
          <w:sz w:val="20"/>
          <w:szCs w:val="20"/>
        </w:rPr>
      </w:pPr>
      <w:r w:rsidRPr="00442E50">
        <w:rPr>
          <w:rFonts w:ascii="Arial" w:hAnsi="Arial" w:cs="Arial"/>
          <w:sz w:val="20"/>
          <w:szCs w:val="20"/>
        </w:rPr>
        <w:t>Los estados Financieros son firmados por los responsables en apego a la normatividad vigente.</w:t>
      </w:r>
      <w:r w:rsidRPr="00442E50">
        <w:rPr>
          <w:rFonts w:ascii="Arial" w:hAnsi="Arial" w:cs="Arial"/>
          <w:sz w:val="20"/>
          <w:szCs w:val="20"/>
        </w:rPr>
        <w:cr/>
      </w:r>
    </w:p>
    <w:p w:rsidR="00BD08D7" w:rsidRPr="00442E50" w:rsidRDefault="00BD08D7" w:rsidP="00BD08D7">
      <w:pPr>
        <w:jc w:val="both"/>
        <w:rPr>
          <w:rFonts w:ascii="Arial" w:hAnsi="Arial" w:cs="Arial"/>
          <w:sz w:val="20"/>
          <w:szCs w:val="20"/>
          <w:u w:val="single"/>
        </w:rPr>
      </w:pPr>
      <w:r w:rsidRPr="00442E50">
        <w:rPr>
          <w:rFonts w:ascii="Arial" w:hAnsi="Arial" w:cs="Arial"/>
          <w:sz w:val="20"/>
          <w:szCs w:val="20"/>
        </w:rPr>
        <w:t>Bajo protesta de decir verdad declaramos que los Estados Financieros y sus notas, son razonablemente correctos y son responsabilidad del emisor.</w:t>
      </w:r>
    </w:p>
    <w:p w:rsidR="00BD08D7" w:rsidRPr="00442E50" w:rsidRDefault="00BD08D7" w:rsidP="00BD08D7">
      <w:pPr>
        <w:jc w:val="both"/>
        <w:rPr>
          <w:rFonts w:ascii="Arial" w:hAnsi="Arial" w:cs="Arial"/>
          <w:u w:val="single"/>
        </w:rPr>
      </w:pPr>
    </w:p>
    <w:p w:rsidR="00BD08D7" w:rsidRPr="00442E50" w:rsidRDefault="00BD08D7" w:rsidP="00BD08D7">
      <w:pPr>
        <w:jc w:val="both"/>
        <w:rPr>
          <w:rFonts w:ascii="Arial" w:hAnsi="Arial" w:cs="Arial"/>
          <w:u w:val="single"/>
        </w:rPr>
      </w:pPr>
    </w:p>
    <w:p w:rsidR="00BD08D7" w:rsidRPr="00442E50" w:rsidRDefault="00BD08D7" w:rsidP="00BD08D7">
      <w:pPr>
        <w:jc w:val="both"/>
        <w:rPr>
          <w:rFonts w:ascii="Arial" w:hAnsi="Arial" w:cs="Arial"/>
          <w:u w:val="single"/>
        </w:rPr>
      </w:pPr>
    </w:p>
    <w:p w:rsidR="00BD08D7" w:rsidRPr="00442E50" w:rsidRDefault="00BD08D7" w:rsidP="00BD08D7">
      <w:pPr>
        <w:jc w:val="both"/>
        <w:rPr>
          <w:rFonts w:ascii="Arial" w:hAnsi="Arial" w:cs="Arial"/>
          <w:u w:val="single"/>
        </w:rPr>
      </w:pPr>
    </w:p>
    <w:p w:rsidR="00BD08D7" w:rsidRPr="00442E50" w:rsidRDefault="00BD08D7" w:rsidP="00BD08D7">
      <w:pPr>
        <w:jc w:val="center"/>
        <w:rPr>
          <w:rFonts w:ascii="Arial" w:hAnsi="Arial" w:cs="Arial"/>
          <w:sz w:val="20"/>
          <w:szCs w:val="20"/>
        </w:rPr>
      </w:pPr>
      <w:bookmarkStart w:id="0" w:name="_MON_1523087728"/>
      <w:bookmarkStart w:id="1" w:name="_MON_1523275560"/>
      <w:bookmarkStart w:id="2" w:name="_MON_1523087798"/>
      <w:bookmarkStart w:id="3" w:name="_MON_1522822011"/>
      <w:bookmarkStart w:id="4" w:name="_MON_1523260622"/>
      <w:bookmarkStart w:id="5" w:name="_MON_1523087847"/>
      <w:bookmarkEnd w:id="0"/>
      <w:bookmarkEnd w:id="1"/>
      <w:bookmarkEnd w:id="2"/>
      <w:bookmarkEnd w:id="3"/>
      <w:bookmarkEnd w:id="4"/>
      <w:bookmarkEnd w:id="5"/>
    </w:p>
    <w:p w:rsidR="00373F85" w:rsidRPr="00442E50" w:rsidRDefault="008D3A72">
      <w:pPr>
        <w:rPr>
          <w:rFonts w:ascii="Arial" w:hAnsi="Arial" w:cs="Arial"/>
        </w:rPr>
      </w:pPr>
      <w:bookmarkStart w:id="6" w:name="_GoBack"/>
      <w:bookmarkEnd w:id="6"/>
    </w:p>
    <w:sectPr w:rsidR="00373F85" w:rsidRPr="00442E50" w:rsidSect="00E34E43">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A72" w:rsidRDefault="008D3A72">
      <w:r>
        <w:separator/>
      </w:r>
    </w:p>
  </w:endnote>
  <w:endnote w:type="continuationSeparator" w:id="0">
    <w:p w:rsidR="008D3A72" w:rsidRDefault="008D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5C" w:rsidRPr="001E3B9D" w:rsidRDefault="00BD08D7"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1312" behindDoc="0" locked="0" layoutInCell="1" allowOverlap="1" wp14:anchorId="417402E8" wp14:editId="1AA05E6B">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E7EE68A" id="Line 2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3c6abe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18</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5C" w:rsidRPr="00584484" w:rsidRDefault="00BD08D7"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0288" behindDoc="0" locked="0" layoutInCell="1" allowOverlap="1" wp14:anchorId="1552E413" wp14:editId="28045F08">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D72D4D9" id="Line 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3c6abe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Pr>
            <w:rFonts w:ascii="Arial" w:hAnsi="Arial" w:cs="Arial"/>
            <w:color w:val="808080" w:themeColor="background1" w:themeShade="80"/>
            <w:sz w:val="20"/>
            <w:szCs w:val="20"/>
          </w:rPr>
          <w:t>Información Financiera</w:t>
        </w:r>
        <w:r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17</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A72" w:rsidRDefault="008D3A72">
      <w:r>
        <w:separator/>
      </w:r>
    </w:p>
  </w:footnote>
  <w:footnote w:type="continuationSeparator" w:id="0">
    <w:p w:rsidR="008D3A72" w:rsidRDefault="008D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5C" w:rsidRDefault="00BD08D7"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5911189C" wp14:editId="7FE9ED1D">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a:extLst/>
                    </wps:spPr>
                    <wps:txbx>
                      <w:txbxContent>
                        <w:p w:rsidR="0079565C" w:rsidRPr="00584484" w:rsidRDefault="00BD08D7"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79565C" w:rsidRPr="00410C0A" w:rsidRDefault="00BD08D7"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79565C" w:rsidRPr="00584484" w:rsidRDefault="00BD08D7"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1189C" id="_x0000_t202" coordsize="21600,21600" o:spt="202" path="m,l,21600r21600,l21600,xe">
              <v:stroke joinstyle="miter"/>
              <v:path gradientshapeok="t" o:connecttype="rect"/>
            </v:shapetype>
            <v:shape id="Cuadro de texto 6" o:spid="_x0000_s1026" type="#_x0000_t202" style="position:absolute;margin-left:152.75pt;margin-top:-21.7pt;width:217.9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" filled="f" stroked="f">
              <v:textbox>
                <w:txbxContent>
                  <w:p w:rsidR="0079565C" w:rsidRPr="00584484" w:rsidRDefault="00BD08D7"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79565C" w:rsidRPr="00410C0A" w:rsidRDefault="00BD08D7"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79565C" w:rsidRPr="00584484" w:rsidRDefault="00BD08D7"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4C3A6693" wp14:editId="777DE4C0">
              <wp:simplePos x="0" y="0"/>
              <wp:positionH relativeFrom="column">
                <wp:posOffset>4657725</wp:posOffset>
              </wp:positionH>
              <wp:positionV relativeFrom="paragraph">
                <wp:posOffset>-195580</wp:posOffset>
              </wp:positionV>
              <wp:extent cx="838835"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5C" w:rsidRPr="00E9097D" w:rsidRDefault="00BD08D7"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A6693" id="Cuadro de texto 5" o:spid="_x0000_s1027" type="#_x0000_t202" style="position:absolute;margin-left:366.75pt;margin-top:-15.4pt;width:66.0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" stroked="f">
              <v:textbox>
                <w:txbxContent>
                  <w:p w:rsidR="0079565C" w:rsidRPr="00E9097D" w:rsidRDefault="00BD08D7"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33BD814D" wp14:editId="08164204">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E06ED2" id="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5C" w:rsidRPr="007D16CA" w:rsidRDefault="00BD08D7" w:rsidP="00410C0A">
    <w:pPr>
      <w:pStyle w:val="Encabezad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INSTITUTO DE SALUD PÚLICA DEL ESTADO DE GUANAJUATO</w:t>
    </w:r>
    <w:r>
      <w:rPr>
        <w:rFonts w:ascii="Arial" w:hAnsi="Arial" w:cs="Arial"/>
        <w:noProof/>
        <w:lang w:val="es-MX" w:eastAsia="es-MX"/>
      </w:rPr>
      <mc:AlternateContent>
        <mc:Choice Requires="wps">
          <w:drawing>
            <wp:anchor distT="0" distB="0" distL="114300" distR="114300" simplePos="0" relativeHeight="251664384" behindDoc="0" locked="0" layoutInCell="1" allowOverlap="1" wp14:anchorId="58EF3B2A" wp14:editId="6CBD9E6F">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7A3B33" id="Line 2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3c6abe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1"/>
  </w:num>
  <w:num w:numId="5">
    <w:abstractNumId w:val="10"/>
  </w:num>
  <w:num w:numId="6">
    <w:abstractNumId w:val="2"/>
  </w:num>
  <w:num w:numId="7">
    <w:abstractNumId w:val="8"/>
  </w:num>
  <w:num w:numId="8">
    <w:abstractNumId w:val="1"/>
  </w:num>
  <w:num w:numId="9">
    <w:abstractNumId w:val="12"/>
  </w:num>
  <w:num w:numId="10">
    <w:abstractNumId w:val="6"/>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D7"/>
    <w:rsid w:val="00076499"/>
    <w:rsid w:val="00442E50"/>
    <w:rsid w:val="008D3A72"/>
    <w:rsid w:val="00BD08D7"/>
    <w:rsid w:val="00D5230C"/>
    <w:rsid w:val="00F57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9A233-90C3-40DD-9BE5-A757803E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D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08D7"/>
    <w:pPr>
      <w:tabs>
        <w:tab w:val="center" w:pos="4419"/>
        <w:tab w:val="right" w:pos="8838"/>
      </w:tabs>
    </w:pPr>
  </w:style>
  <w:style w:type="character" w:customStyle="1" w:styleId="EncabezadoCar">
    <w:name w:val="Encabezado Car"/>
    <w:basedOn w:val="Fuentedeprrafopredeter"/>
    <w:link w:val="Encabezado"/>
    <w:uiPriority w:val="99"/>
    <w:rsid w:val="00BD08D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08D7"/>
    <w:pPr>
      <w:tabs>
        <w:tab w:val="center" w:pos="4419"/>
        <w:tab w:val="right" w:pos="8838"/>
      </w:tabs>
    </w:pPr>
  </w:style>
  <w:style w:type="character" w:customStyle="1" w:styleId="PiedepginaCar">
    <w:name w:val="Pie de página Car"/>
    <w:basedOn w:val="Fuentedeprrafopredeter"/>
    <w:link w:val="Piedepgina"/>
    <w:uiPriority w:val="99"/>
    <w:rsid w:val="00BD08D7"/>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D08D7"/>
    <w:pPr>
      <w:ind w:left="720"/>
      <w:contextualSpacing/>
    </w:pPr>
  </w:style>
  <w:style w:type="character" w:customStyle="1" w:styleId="PrrafodelistaCar">
    <w:name w:val="Párrafo de lista Car"/>
    <w:basedOn w:val="Fuentedeprrafopredeter"/>
    <w:link w:val="Prrafodelista"/>
    <w:uiPriority w:val="34"/>
    <w:locked/>
    <w:rsid w:val="00BD08D7"/>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D0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5386</Words>
  <Characters>29624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2022-01-28T20:10:00Z</dcterms:created>
  <dcterms:modified xsi:type="dcterms:W3CDTF">2022-01-28T20:10:00Z</dcterms:modified>
</cp:coreProperties>
</file>