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E85" w:rsidRDefault="001F4E85" w:rsidP="001F4E85">
      <w:pPr>
        <w:tabs>
          <w:tab w:val="left" w:pos="6804"/>
        </w:tabs>
        <w:jc w:val="center"/>
        <w:rPr>
          <w:noProof/>
          <w:szCs w:val="20"/>
          <w:lang w:val="es-MX" w:eastAsia="es-MX"/>
        </w:rPr>
      </w:pPr>
      <w:bookmarkStart w:id="0" w:name="_Hlk124265935"/>
    </w:p>
    <w:bookmarkStart w:id="1" w:name="_MON_1523087728"/>
    <w:bookmarkStart w:id="2" w:name="_MON_1523275560"/>
    <w:bookmarkStart w:id="3" w:name="_MON_1523087798"/>
    <w:bookmarkStart w:id="4" w:name="_MON_1522822011"/>
    <w:bookmarkStart w:id="5" w:name="_MON_1523260622"/>
    <w:bookmarkStart w:id="6" w:name="_MON_1523087847"/>
    <w:bookmarkEnd w:id="1"/>
    <w:bookmarkEnd w:id="2"/>
    <w:bookmarkEnd w:id="3"/>
    <w:bookmarkEnd w:id="4"/>
    <w:bookmarkEnd w:id="5"/>
    <w:bookmarkEnd w:id="6"/>
    <w:p w:rsidR="001F4E85" w:rsidRPr="00E74967" w:rsidRDefault="001F4E85" w:rsidP="001F4E85">
      <w:pPr>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Pr="00E74967">
        <w:rPr>
          <w:rStyle w:val="Hipervnculo"/>
          <w:rFonts w:cs="Calibri"/>
          <w:b/>
          <w:sz w:val="28"/>
          <w:szCs w:val="28"/>
        </w:rPr>
        <w:t>NOTAS DE GESTIÓN ADMINISTRATIVA</w:t>
      </w:r>
      <w:r>
        <w:fldChar w:fldCharType="end"/>
      </w:r>
    </w:p>
    <w:p w:rsidR="001F4E85" w:rsidRDefault="001F4E85" w:rsidP="001F4E85">
      <w:pPr>
        <w:jc w:val="both"/>
        <w:rPr>
          <w:rFonts w:cs="Calibri"/>
        </w:rPr>
      </w:pPr>
    </w:p>
    <w:p w:rsidR="001F4E85" w:rsidRPr="00641410" w:rsidRDefault="001F4E85" w:rsidP="001F4E85">
      <w:pPr>
        <w:jc w:val="center"/>
        <w:rPr>
          <w:rStyle w:val="Hipervnculo"/>
          <w:rFonts w:cs="Calibri"/>
          <w:b/>
          <w:sz w:val="28"/>
          <w:szCs w:val="28"/>
        </w:rPr>
      </w:pPr>
      <w:r w:rsidRPr="00641410">
        <w:rPr>
          <w:rStyle w:val="Hipervnculo"/>
          <w:rFonts w:cs="Calibri"/>
          <w:b/>
          <w:sz w:val="28"/>
          <w:szCs w:val="28"/>
        </w:rPr>
        <w:t xml:space="preserve">AL </w:t>
      </w:r>
      <w:r w:rsidR="00514DB1">
        <w:rPr>
          <w:rStyle w:val="Hipervnculo"/>
          <w:rFonts w:cs="Calibri"/>
          <w:b/>
          <w:sz w:val="28"/>
          <w:szCs w:val="28"/>
        </w:rPr>
        <w:t>TERCER</w:t>
      </w:r>
      <w:r w:rsidR="00A200EA">
        <w:rPr>
          <w:rStyle w:val="Hipervnculo"/>
          <w:rFonts w:cs="Calibri"/>
          <w:b/>
          <w:sz w:val="28"/>
          <w:szCs w:val="28"/>
        </w:rPr>
        <w:t xml:space="preserve"> </w:t>
      </w:r>
      <w:r w:rsidRPr="00641410">
        <w:rPr>
          <w:rStyle w:val="Hipervnculo"/>
          <w:rFonts w:cs="Calibri"/>
          <w:b/>
          <w:sz w:val="28"/>
          <w:szCs w:val="28"/>
        </w:rPr>
        <w:t>TRIMESTRE DE 202</w:t>
      </w:r>
      <w:r>
        <w:rPr>
          <w:rStyle w:val="Hipervnculo"/>
          <w:rFonts w:cs="Calibri"/>
          <w:b/>
          <w:sz w:val="28"/>
          <w:szCs w:val="28"/>
        </w:rPr>
        <w:t>3</w:t>
      </w:r>
    </w:p>
    <w:p w:rsidR="001F4E85" w:rsidRDefault="001F4E85" w:rsidP="001F4E85">
      <w:pPr>
        <w:jc w:val="center"/>
        <w:rPr>
          <w:rStyle w:val="Hipervnculo"/>
          <w:b/>
          <w:sz w:val="28"/>
          <w:szCs w:val="28"/>
        </w:rPr>
      </w:pPr>
    </w:p>
    <w:p w:rsidR="001F4E85" w:rsidRDefault="001F4E85" w:rsidP="001F4E85">
      <w:pPr>
        <w:jc w:val="center"/>
        <w:rPr>
          <w:rStyle w:val="Hipervnculo"/>
          <w:b/>
          <w:sz w:val="28"/>
          <w:szCs w:val="28"/>
        </w:rPr>
      </w:pPr>
    </w:p>
    <w:p w:rsidR="001F4E85" w:rsidRDefault="001F4E85" w:rsidP="001F4E85">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Pr>
          <w:rFonts w:ascii="Arial" w:hAnsi="Arial" w:cs="Arial"/>
          <w:sz w:val="20"/>
          <w:szCs w:val="20"/>
        </w:rPr>
        <w:t>es como la Secretarí</w:t>
      </w:r>
      <w:r w:rsidRPr="006E394E">
        <w:rPr>
          <w:rFonts w:ascii="Arial" w:hAnsi="Arial" w:cs="Arial"/>
          <w:sz w:val="20"/>
          <w:szCs w:val="20"/>
        </w:rPr>
        <w:t>a de Hacie</w:t>
      </w:r>
      <w:r>
        <w:rPr>
          <w:rFonts w:ascii="Arial" w:hAnsi="Arial" w:cs="Arial"/>
          <w:sz w:val="20"/>
          <w:szCs w:val="20"/>
        </w:rPr>
        <w:t>nda y Crédito Público, Secretarí</w:t>
      </w:r>
      <w:r w:rsidRPr="006E394E">
        <w:rPr>
          <w:rFonts w:ascii="Arial" w:hAnsi="Arial" w:cs="Arial"/>
          <w:sz w:val="20"/>
          <w:szCs w:val="20"/>
        </w:rPr>
        <w:t>a de Salud, Congreso de la Unión, Congreso del Estado y ciudadanía.</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 xml:space="preserve">El objetivo del presente documento es la revelación del contexto y de los aspectos económicos financieros más </w:t>
      </w:r>
      <w:r>
        <w:rPr>
          <w:rFonts w:ascii="Arial" w:hAnsi="Arial" w:cs="Arial"/>
          <w:sz w:val="20"/>
          <w:szCs w:val="20"/>
        </w:rPr>
        <w:t>representativos</w:t>
      </w:r>
      <w:r w:rsidRPr="006E394E">
        <w:rPr>
          <w:rFonts w:ascii="Arial" w:hAnsi="Arial" w:cs="Arial"/>
          <w:sz w:val="20"/>
          <w:szCs w:val="20"/>
        </w:rPr>
        <w:t xml:space="preserve"> que influ</w:t>
      </w:r>
      <w:r>
        <w:rPr>
          <w:rFonts w:ascii="Arial" w:hAnsi="Arial" w:cs="Arial"/>
          <w:sz w:val="20"/>
          <w:szCs w:val="20"/>
        </w:rPr>
        <w:t>yeron en las decisiones del peri</w:t>
      </w:r>
      <w:r w:rsidRPr="006E394E">
        <w:rPr>
          <w:rFonts w:ascii="Arial" w:hAnsi="Arial" w:cs="Arial"/>
          <w:sz w:val="20"/>
          <w:szCs w:val="20"/>
        </w:rPr>
        <w:t>odo, y que deberán ser considerados en la elaboración de los estados financieros para la mayor comprensión de los mismos y sus particularidades.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w:t>
      </w:r>
      <w:r>
        <w:rPr>
          <w:rFonts w:ascii="Arial" w:hAnsi="Arial" w:cs="Arial"/>
          <w:sz w:val="20"/>
          <w:szCs w:val="20"/>
        </w:rPr>
        <w:t>ormación financiera de cada peri</w:t>
      </w:r>
      <w:r w:rsidRPr="006E394E">
        <w:rPr>
          <w:rFonts w:ascii="Arial" w:hAnsi="Arial" w:cs="Arial"/>
          <w:sz w:val="20"/>
          <w:szCs w:val="20"/>
        </w:rPr>
        <w:t>odo de gestión; además, de exponer aquellas políticas que podrían afect</w:t>
      </w:r>
      <w:r>
        <w:rPr>
          <w:rFonts w:ascii="Arial" w:hAnsi="Arial" w:cs="Arial"/>
          <w:sz w:val="20"/>
          <w:szCs w:val="20"/>
        </w:rPr>
        <w:t>ar la toma de decisiones en peri</w:t>
      </w:r>
      <w:r w:rsidRPr="006E394E">
        <w:rPr>
          <w:rFonts w:ascii="Arial" w:hAnsi="Arial" w:cs="Arial"/>
          <w:sz w:val="20"/>
          <w:szCs w:val="20"/>
        </w:rPr>
        <w:t>odos posteriores.</w:t>
      </w:r>
    </w:p>
    <w:p w:rsidR="001F4E85" w:rsidRDefault="001F4E85" w:rsidP="001F4E85">
      <w:pPr>
        <w:jc w:val="both"/>
        <w:rPr>
          <w:rFonts w:ascii="Arial" w:hAnsi="Arial" w:cs="Arial"/>
          <w:b/>
          <w:sz w:val="20"/>
          <w:szCs w:val="20"/>
        </w:rPr>
      </w:pPr>
    </w:p>
    <w:p w:rsidR="006B48FF" w:rsidRDefault="006B48FF"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1. Introducción:</w:t>
      </w:r>
    </w:p>
    <w:p w:rsidR="001F4E85" w:rsidRDefault="001F4E85" w:rsidP="001F4E85">
      <w:pPr>
        <w:jc w:val="both"/>
        <w:rPr>
          <w:rFonts w:ascii="Arial" w:hAnsi="Arial" w:cs="Arial"/>
          <w:sz w:val="20"/>
          <w:szCs w:val="20"/>
        </w:rPr>
      </w:pPr>
      <w:r w:rsidRPr="006E394E">
        <w:rPr>
          <w:rFonts w:ascii="Arial" w:hAnsi="Arial" w:cs="Arial"/>
          <w:sz w:val="20"/>
          <w:szCs w:val="20"/>
        </w:rPr>
        <w:t>Breve descripción de las actividades principales de la entidad.</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Pr>
          <w:rFonts w:ascii="Arial" w:hAnsi="Arial" w:cs="Arial"/>
          <w:sz w:val="20"/>
          <w:szCs w:val="20"/>
        </w:rPr>
        <w:t>erdos emitidos por el gobierno</w:t>
      </w:r>
      <w:r w:rsidRPr="006E394E">
        <w:rPr>
          <w:rFonts w:ascii="Arial" w:hAnsi="Arial" w:cs="Arial"/>
          <w:sz w:val="20"/>
          <w:szCs w:val="20"/>
        </w:rPr>
        <w:t xml:space="preserve"> del Estado.</w:t>
      </w:r>
    </w:p>
    <w:p w:rsidR="001F4E85" w:rsidRPr="006E394E" w:rsidRDefault="001F4E85" w:rsidP="001F4E85">
      <w:pPr>
        <w:jc w:val="both"/>
        <w:rPr>
          <w:rFonts w:ascii="Arial" w:hAnsi="Arial" w:cs="Arial"/>
          <w:sz w:val="20"/>
          <w:szCs w:val="20"/>
          <w:u w:val="single"/>
        </w:rPr>
      </w:pPr>
    </w:p>
    <w:p w:rsidR="001F4E85" w:rsidRDefault="001F4E85" w:rsidP="001F4E85">
      <w:pPr>
        <w:jc w:val="both"/>
        <w:rPr>
          <w:rFonts w:ascii="Arial" w:hAnsi="Arial" w:cs="Arial"/>
          <w:sz w:val="20"/>
          <w:szCs w:val="20"/>
        </w:rPr>
      </w:pPr>
      <w:r w:rsidRPr="006E394E">
        <w:rPr>
          <w:rFonts w:ascii="Arial" w:hAnsi="Arial" w:cs="Arial"/>
          <w:sz w:val="20"/>
          <w:szCs w:val="20"/>
        </w:rPr>
        <w:t>Tiene las siguientes funciones:</w:t>
      </w:r>
    </w:p>
    <w:p w:rsidR="001F4E85" w:rsidRPr="006E394E" w:rsidRDefault="001F4E85" w:rsidP="001F4E85">
      <w:pPr>
        <w:jc w:val="both"/>
        <w:rPr>
          <w:rFonts w:ascii="Arial" w:hAnsi="Arial" w:cs="Arial"/>
          <w:sz w:val="20"/>
          <w:szCs w:val="20"/>
        </w:rPr>
      </w:pP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lastRenderedPageBreak/>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1F4E85" w:rsidRPr="006E394E" w:rsidRDefault="001F4E85" w:rsidP="001F4E85">
      <w:pPr>
        <w:jc w:val="both"/>
        <w:rPr>
          <w:rFonts w:ascii="Arial" w:hAnsi="Arial" w:cs="Arial"/>
          <w:b/>
          <w:sz w:val="20"/>
          <w:szCs w:val="20"/>
        </w:rPr>
      </w:pPr>
      <w:r w:rsidRPr="006E394E">
        <w:rPr>
          <w:rFonts w:ascii="Arial" w:hAnsi="Arial" w:cs="Arial"/>
          <w:b/>
          <w:sz w:val="20"/>
          <w:szCs w:val="20"/>
        </w:rPr>
        <w:t>2. Describir el panorama Económico y Financiero:</w:t>
      </w:r>
      <w:r>
        <w:rPr>
          <w:rFonts w:ascii="Arial" w:hAnsi="Arial" w:cs="Arial"/>
          <w:b/>
          <w:sz w:val="20"/>
          <w:szCs w:val="20"/>
        </w:rPr>
        <w:t xml:space="preserve"> </w:t>
      </w:r>
    </w:p>
    <w:p w:rsidR="001F4E85" w:rsidRDefault="001F4E85" w:rsidP="001F4E85">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w:t>
      </w:r>
      <w:r>
        <w:rPr>
          <w:rFonts w:ascii="Arial" w:hAnsi="Arial" w:cs="Arial"/>
          <w:sz w:val="20"/>
          <w:szCs w:val="20"/>
        </w:rPr>
        <w:t xml:space="preserve">de </w:t>
      </w:r>
      <w:r w:rsidRPr="006E394E">
        <w:rPr>
          <w:rFonts w:ascii="Arial" w:hAnsi="Arial" w:cs="Arial"/>
          <w:sz w:val="20"/>
          <w:szCs w:val="20"/>
        </w:rPr>
        <w:t xml:space="preserve">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A partir del año 2011 se agregaron al Gasto Federalizado las transferencias de la Protección Social en Salud, y sus recursos forma</w:t>
      </w:r>
      <w:r>
        <w:rPr>
          <w:rFonts w:ascii="Arial" w:hAnsi="Arial" w:cs="Arial"/>
          <w:sz w:val="20"/>
          <w:szCs w:val="20"/>
        </w:rPr>
        <w:t xml:space="preserve">ban </w:t>
      </w:r>
      <w:r w:rsidRPr="006E394E">
        <w:rPr>
          <w:rFonts w:ascii="Arial" w:hAnsi="Arial" w:cs="Arial"/>
          <w:sz w:val="20"/>
          <w:szCs w:val="20"/>
        </w:rPr>
        <w:t>parte del programa presupuestario “Seguro Popular” a cargo de la Comisión Nacional de Protección Social en Salud, con quien el Estado de Guanajuato t</w:t>
      </w:r>
      <w:r>
        <w:rPr>
          <w:rFonts w:ascii="Arial" w:hAnsi="Arial" w:cs="Arial"/>
          <w:sz w:val="20"/>
          <w:szCs w:val="20"/>
        </w:rPr>
        <w:t>enía</w:t>
      </w:r>
      <w:r w:rsidRPr="006E394E">
        <w:rPr>
          <w:rFonts w:ascii="Arial" w:hAnsi="Arial" w:cs="Arial"/>
          <w:sz w:val="20"/>
          <w:szCs w:val="20"/>
        </w:rPr>
        <w:t xml:space="preserve"> suscrito un Acuerdo de Coordinación para la Ejecución del Sistema de Protección Social en Salud para el Ejercicio Fiscal 2019, representado por el Régimen Estatal de Protección Social en Salud del Estado de Guanajuato, quien fung</w:t>
      </w:r>
      <w:r>
        <w:rPr>
          <w:rFonts w:ascii="Arial" w:hAnsi="Arial" w:cs="Arial"/>
          <w:sz w:val="20"/>
          <w:szCs w:val="20"/>
        </w:rPr>
        <w:t>ía</w:t>
      </w:r>
      <w:r w:rsidRPr="006E394E">
        <w:rPr>
          <w:rFonts w:ascii="Arial" w:hAnsi="Arial" w:cs="Arial"/>
          <w:sz w:val="20"/>
          <w:szCs w:val="20"/>
        </w:rPr>
        <w:t xml:space="preserve"> como ente financiador y supervisor del ejercicio de estos recursos, gestionando el pago al Instituto por los servicios prestados para la atención médica a los beneficiarios de los programas; Seguro Popular, Fondo de Protección de Gastos Catastróficos, y</w:t>
      </w:r>
      <w:r>
        <w:rPr>
          <w:rFonts w:ascii="Arial" w:hAnsi="Arial" w:cs="Arial"/>
          <w:sz w:val="20"/>
          <w:szCs w:val="20"/>
        </w:rPr>
        <w:t xml:space="preserve"> Seguro Médico Siglo XXI.</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Pr>
          <w:rFonts w:ascii="Arial" w:hAnsi="Arial" w:cs="Arial"/>
          <w:sz w:val="20"/>
          <w:szCs w:val="20"/>
        </w:rPr>
        <w:t>En el Diario Oficial de la Federación del día 29 de noviembre de 2019, se reforma la Ley General de Salud, y desaparece de la misma, todo lo referente al Seguro Popular, denominando al Título Tercero Bis “</w:t>
      </w:r>
      <w:r w:rsidRPr="00936AA7">
        <w:rPr>
          <w:rFonts w:ascii="Arial" w:hAnsi="Arial" w:cs="Arial"/>
          <w:sz w:val="20"/>
          <w:szCs w:val="20"/>
        </w:rPr>
        <w:t>De la prestación gratuita de servicios de salud,</w:t>
      </w:r>
      <w:r>
        <w:rPr>
          <w:rFonts w:ascii="Arial" w:hAnsi="Arial" w:cs="Arial"/>
          <w:sz w:val="20"/>
          <w:szCs w:val="20"/>
        </w:rPr>
        <w:t xml:space="preserve"> </w:t>
      </w:r>
      <w:r w:rsidRPr="00936AA7">
        <w:rPr>
          <w:rFonts w:ascii="Arial" w:hAnsi="Arial" w:cs="Arial"/>
          <w:sz w:val="20"/>
          <w:szCs w:val="20"/>
        </w:rPr>
        <w:t>medicamentos y demás insumos asociados para</w:t>
      </w:r>
      <w:r>
        <w:rPr>
          <w:rFonts w:ascii="Arial" w:hAnsi="Arial" w:cs="Arial"/>
          <w:sz w:val="20"/>
          <w:szCs w:val="20"/>
        </w:rPr>
        <w:t xml:space="preserve"> </w:t>
      </w:r>
      <w:r w:rsidRPr="00936AA7">
        <w:rPr>
          <w:rFonts w:ascii="Arial" w:hAnsi="Arial" w:cs="Arial"/>
          <w:sz w:val="20"/>
          <w:szCs w:val="20"/>
        </w:rPr>
        <w:t>las personas sin seguridad social</w:t>
      </w:r>
      <w:r>
        <w:rPr>
          <w:rFonts w:ascii="Arial" w:hAnsi="Arial" w:cs="Arial"/>
          <w:sz w:val="20"/>
          <w:szCs w:val="20"/>
        </w:rPr>
        <w:t xml:space="preserve">”, y en su lugar, se crea el Instituto de Salud para el Bienestar, </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Pr>
          <w:rFonts w:ascii="Arial" w:hAnsi="Arial" w:cs="Arial"/>
          <w:sz w:val="20"/>
          <w:szCs w:val="20"/>
        </w:rPr>
        <w:t xml:space="preserve"> </w:t>
      </w:r>
      <w:r w:rsidRPr="00936AA7">
        <w:rPr>
          <w:rFonts w:ascii="Arial" w:hAnsi="Arial" w:cs="Arial"/>
          <w:sz w:val="20"/>
          <w:szCs w:val="20"/>
        </w:rPr>
        <w:t>medicamentos y demás insumos asociados que</w:t>
      </w:r>
      <w:r>
        <w:rPr>
          <w:rFonts w:ascii="Arial" w:hAnsi="Arial" w:cs="Arial"/>
          <w:sz w:val="20"/>
          <w:szCs w:val="20"/>
        </w:rPr>
        <w:t xml:space="preserve"> </w:t>
      </w:r>
      <w:r w:rsidRPr="00936AA7">
        <w:rPr>
          <w:rFonts w:ascii="Arial" w:hAnsi="Arial" w:cs="Arial"/>
          <w:sz w:val="20"/>
          <w:szCs w:val="20"/>
        </w:rPr>
        <w:t>requieran las personas sin seguridad social, cuando</w:t>
      </w:r>
      <w:r>
        <w:rPr>
          <w:rFonts w:ascii="Arial" w:hAnsi="Arial" w:cs="Arial"/>
          <w:sz w:val="20"/>
          <w:szCs w:val="20"/>
        </w:rPr>
        <w:t xml:space="preserve"> </w:t>
      </w:r>
      <w:r w:rsidRPr="00936AA7">
        <w:rPr>
          <w:rFonts w:ascii="Arial" w:hAnsi="Arial" w:cs="Arial"/>
          <w:sz w:val="20"/>
          <w:szCs w:val="20"/>
        </w:rPr>
        <w:t>así lo haya pactado con las entidades federativas</w:t>
      </w:r>
      <w:r>
        <w:rPr>
          <w:rFonts w:ascii="Arial" w:hAnsi="Arial" w:cs="Arial"/>
          <w:sz w:val="20"/>
          <w:szCs w:val="20"/>
        </w:rPr>
        <w:t xml:space="preserve"> </w:t>
      </w:r>
      <w:r w:rsidRPr="00936AA7">
        <w:rPr>
          <w:rFonts w:ascii="Arial" w:hAnsi="Arial" w:cs="Arial"/>
          <w:sz w:val="20"/>
          <w:szCs w:val="20"/>
        </w:rPr>
        <w:t>mediante la celebración de los acuerdos de</w:t>
      </w:r>
      <w:r>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1F4E85" w:rsidRDefault="001F4E85" w:rsidP="001F4E85">
      <w:pPr>
        <w:jc w:val="both"/>
        <w:rPr>
          <w:rFonts w:ascii="Arial" w:hAnsi="Arial" w:cs="Arial"/>
          <w:sz w:val="20"/>
          <w:szCs w:val="20"/>
        </w:rPr>
      </w:pPr>
      <w:r>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lastRenderedPageBreak/>
        <w:t>3. Autorización e Historia:</w:t>
      </w:r>
    </w:p>
    <w:p w:rsidR="001F4E85" w:rsidRDefault="001F4E85" w:rsidP="001F4E85">
      <w:pPr>
        <w:jc w:val="both"/>
        <w:rPr>
          <w:rFonts w:ascii="Arial" w:hAnsi="Arial" w:cs="Arial"/>
          <w:sz w:val="20"/>
          <w:szCs w:val="20"/>
        </w:rPr>
      </w:pPr>
      <w:r w:rsidRPr="006E394E">
        <w:rPr>
          <w:rFonts w:ascii="Arial" w:hAnsi="Arial" w:cs="Arial"/>
          <w:sz w:val="20"/>
          <w:szCs w:val="20"/>
        </w:rPr>
        <w:t>Se informará sobre:</w:t>
      </w: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1F4E85" w:rsidRPr="006E394E" w:rsidRDefault="001F4E85" w:rsidP="001F4E85">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1F4E85"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 xml:space="preserve">25 </w:t>
      </w:r>
      <w:r>
        <w:rPr>
          <w:rFonts w:ascii="Arial" w:hAnsi="Arial" w:cs="Arial"/>
          <w:b/>
          <w:sz w:val="20"/>
          <w:szCs w:val="20"/>
        </w:rPr>
        <w:t xml:space="preserve">de </w:t>
      </w:r>
      <w:proofErr w:type="gramStart"/>
      <w:r w:rsidRPr="006E394E">
        <w:rPr>
          <w:rFonts w:ascii="Arial" w:hAnsi="Arial" w:cs="Arial"/>
          <w:b/>
          <w:sz w:val="20"/>
          <w:szCs w:val="20"/>
        </w:rPr>
        <w:t>Junio</w:t>
      </w:r>
      <w:proofErr w:type="gramEnd"/>
      <w:r>
        <w:rPr>
          <w:rFonts w:ascii="Arial" w:hAnsi="Arial" w:cs="Arial"/>
          <w:b/>
          <w:sz w:val="20"/>
          <w:szCs w:val="20"/>
        </w:rPr>
        <w:t xml:space="preserve"> de</w:t>
      </w:r>
      <w:r w:rsidRPr="006E394E">
        <w:rPr>
          <w:rFonts w:ascii="Arial" w:hAnsi="Arial" w:cs="Arial"/>
          <w:b/>
          <w:sz w:val="20"/>
          <w:szCs w:val="20"/>
        </w:rPr>
        <w:t xml:space="preserve"> 2001</w:t>
      </w:r>
      <w:r w:rsidRPr="006E394E">
        <w:rPr>
          <w:rFonts w:ascii="Arial" w:hAnsi="Arial" w:cs="Arial"/>
          <w:sz w:val="20"/>
          <w:szCs w:val="20"/>
        </w:rPr>
        <w:t>. A fin de hacerla congruente con las disposiciones de la Ley Orgánica del Poder Ejecutivo para el Estado de Guanajuato.</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 xml:space="preserve">19 </w:t>
      </w:r>
      <w:r>
        <w:rPr>
          <w:rFonts w:ascii="Arial" w:hAnsi="Arial" w:cs="Arial"/>
          <w:b/>
          <w:sz w:val="20"/>
          <w:szCs w:val="20"/>
        </w:rPr>
        <w:t xml:space="preserve">de </w:t>
      </w:r>
      <w:proofErr w:type="gramStart"/>
      <w:r w:rsidRPr="006E394E">
        <w:rPr>
          <w:rFonts w:ascii="Arial" w:hAnsi="Arial" w:cs="Arial"/>
          <w:b/>
          <w:sz w:val="20"/>
          <w:szCs w:val="20"/>
        </w:rPr>
        <w:t>Mayo</w:t>
      </w:r>
      <w:proofErr w:type="gramEnd"/>
      <w:r>
        <w:rPr>
          <w:rFonts w:ascii="Arial" w:hAnsi="Arial" w:cs="Arial"/>
          <w:b/>
          <w:sz w:val="20"/>
          <w:szCs w:val="20"/>
        </w:rPr>
        <w:t xml:space="preserve"> de</w:t>
      </w:r>
      <w:r w:rsidRPr="006E394E">
        <w:rPr>
          <w:rFonts w:ascii="Arial" w:hAnsi="Arial" w:cs="Arial"/>
          <w:b/>
          <w:sz w:val="20"/>
          <w:szCs w:val="20"/>
        </w:rPr>
        <w:t xml:space="preserve">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Pr>
          <w:rFonts w:ascii="Arial" w:hAnsi="Arial" w:cs="Arial"/>
          <w:sz w:val="20"/>
          <w:szCs w:val="20"/>
        </w:rPr>
        <w:t>Decreto Gubernativo 229, publicado en el Periódico Oficial del Gobierno del Estado de Guanajuato número 131, el 02 de julio de 2018, por el cual se reforman, adicionan y derogan diversos dispositivos normativos de distintas dependencias y entidades que integran la Administración Pública Estatal, a efecto de armonizar lo referente a los Órganos Internos de Control.</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1F4E85" w:rsidRDefault="001F4E85" w:rsidP="001F4E85">
      <w:pPr>
        <w:tabs>
          <w:tab w:val="left" w:pos="4990"/>
        </w:tabs>
        <w:jc w:val="both"/>
        <w:rPr>
          <w:rFonts w:ascii="Arial" w:hAnsi="Arial" w:cs="Arial"/>
          <w:sz w:val="20"/>
          <w:szCs w:val="20"/>
        </w:rPr>
      </w:pPr>
      <w:r>
        <w:rPr>
          <w:rFonts w:ascii="Arial" w:hAnsi="Arial" w:cs="Arial"/>
          <w:sz w:val="20"/>
          <w:szCs w:val="20"/>
        </w:rPr>
        <w:tab/>
      </w:r>
    </w:p>
    <w:p w:rsidR="001F4E85" w:rsidRPr="006E394E" w:rsidRDefault="001F4E85" w:rsidP="001F4E85">
      <w:pPr>
        <w:tabs>
          <w:tab w:val="left" w:pos="4990"/>
        </w:tabs>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4. Organización y Objeto Social:</w:t>
      </w:r>
    </w:p>
    <w:p w:rsidR="001F4E85" w:rsidRDefault="001F4E85" w:rsidP="001F4E85">
      <w:pPr>
        <w:jc w:val="both"/>
        <w:rPr>
          <w:rFonts w:ascii="Arial" w:hAnsi="Arial" w:cs="Arial"/>
          <w:sz w:val="20"/>
          <w:szCs w:val="20"/>
        </w:rPr>
      </w:pPr>
      <w:r w:rsidRPr="006E394E">
        <w:rPr>
          <w:rFonts w:ascii="Arial" w:hAnsi="Arial" w:cs="Arial"/>
          <w:sz w:val="20"/>
          <w:szCs w:val="20"/>
        </w:rPr>
        <w:t>Se informará sobre:</w:t>
      </w:r>
    </w:p>
    <w:p w:rsidR="001F4E85" w:rsidRDefault="001F4E85" w:rsidP="001F4E85">
      <w:pPr>
        <w:jc w:val="both"/>
        <w:rPr>
          <w:rFonts w:ascii="Arial" w:hAnsi="Arial" w:cs="Arial"/>
          <w:sz w:val="20"/>
          <w:szCs w:val="20"/>
        </w:rPr>
      </w:pPr>
    </w:p>
    <w:p w:rsidR="001F4E85" w:rsidRPr="006E394E" w:rsidRDefault="001F4E85" w:rsidP="001F4E85">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1F4E85" w:rsidRPr="006E394E" w:rsidRDefault="001F4E85" w:rsidP="001F4E85">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1F4E85" w:rsidRPr="006E394E" w:rsidRDefault="001F4E85" w:rsidP="001F4E85">
      <w:pPr>
        <w:pStyle w:val="Prrafodelista"/>
        <w:numPr>
          <w:ilvl w:val="0"/>
          <w:numId w:val="13"/>
        </w:numPr>
        <w:jc w:val="both"/>
        <w:rPr>
          <w:rFonts w:ascii="Arial" w:hAnsi="Arial" w:cs="Arial"/>
          <w:sz w:val="20"/>
          <w:szCs w:val="20"/>
        </w:rPr>
      </w:pPr>
      <w:r w:rsidRPr="006E394E">
        <w:rPr>
          <w:rFonts w:ascii="Arial" w:hAnsi="Arial" w:cs="Arial"/>
          <w:sz w:val="20"/>
          <w:szCs w:val="20"/>
        </w:rPr>
        <w:lastRenderedPageBreak/>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1F4E85" w:rsidRPr="006E394E" w:rsidRDefault="001F4E85" w:rsidP="001F4E85">
      <w:pPr>
        <w:pStyle w:val="Prrafodelista"/>
        <w:numPr>
          <w:ilvl w:val="0"/>
          <w:numId w:val="13"/>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1F4E85" w:rsidRPr="006E394E" w:rsidRDefault="001F4E85" w:rsidP="001F4E85">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F4E85" w:rsidRDefault="001F4E85" w:rsidP="001F4E85">
      <w:pPr>
        <w:jc w:val="both"/>
        <w:rPr>
          <w:rFonts w:ascii="Arial" w:hAnsi="Arial" w:cs="Arial"/>
          <w:b/>
          <w:sz w:val="20"/>
          <w:szCs w:val="20"/>
        </w:rPr>
      </w:pPr>
    </w:p>
    <w:p w:rsidR="001F4E85" w:rsidRPr="00D21344" w:rsidRDefault="001F4E85" w:rsidP="001F4E85">
      <w:pPr>
        <w:jc w:val="both"/>
        <w:rPr>
          <w:rFonts w:ascii="Arial" w:hAnsi="Arial" w:cs="Arial"/>
          <w:sz w:val="20"/>
          <w:szCs w:val="20"/>
        </w:rPr>
      </w:pPr>
      <w:r w:rsidRPr="00D21344">
        <w:rPr>
          <w:rFonts w:ascii="Arial" w:hAnsi="Arial" w:cs="Arial"/>
          <w:b/>
          <w:sz w:val="20"/>
          <w:szCs w:val="20"/>
        </w:rPr>
        <w:t>c)</w:t>
      </w:r>
      <w:r w:rsidRPr="00D21344">
        <w:rPr>
          <w:rFonts w:ascii="Arial" w:hAnsi="Arial" w:cs="Arial"/>
          <w:sz w:val="20"/>
          <w:szCs w:val="20"/>
        </w:rPr>
        <w:t xml:space="preserve"> Ejercicio fiscal.</w:t>
      </w:r>
    </w:p>
    <w:p w:rsidR="001F4E85" w:rsidRPr="006E394E" w:rsidRDefault="001F4E85" w:rsidP="001F4E85">
      <w:pPr>
        <w:jc w:val="both"/>
        <w:rPr>
          <w:rFonts w:ascii="Arial" w:hAnsi="Arial" w:cs="Arial"/>
          <w:sz w:val="20"/>
          <w:szCs w:val="20"/>
        </w:rPr>
      </w:pPr>
      <w:r w:rsidRPr="00D21344">
        <w:rPr>
          <w:rFonts w:ascii="Arial" w:hAnsi="Arial" w:cs="Arial"/>
          <w:sz w:val="20"/>
          <w:szCs w:val="20"/>
        </w:rPr>
        <w:t>El ejercicio fiscal actual comprende el periodo del 01 de enero al 31 de diciembre de 202</w:t>
      </w:r>
      <w:r>
        <w:rPr>
          <w:rFonts w:ascii="Arial" w:hAnsi="Arial" w:cs="Arial"/>
          <w:sz w:val="20"/>
          <w:szCs w:val="20"/>
        </w:rPr>
        <w:t>3</w:t>
      </w:r>
      <w:r w:rsidRPr="00D21344">
        <w:rPr>
          <w:rFonts w:ascii="Arial" w:hAnsi="Arial" w:cs="Arial"/>
          <w:sz w:val="20"/>
          <w:szCs w:val="20"/>
        </w:rPr>
        <w:t>.</w:t>
      </w:r>
    </w:p>
    <w:p w:rsidR="001F4E85" w:rsidRPr="006E394E"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r>
        <w:rPr>
          <w:rFonts w:ascii="Arial" w:hAnsi="Arial" w:cs="Arial"/>
          <w:sz w:val="20"/>
          <w:szCs w:val="20"/>
        </w:rPr>
        <w:t>.</w:t>
      </w:r>
    </w:p>
    <w:p w:rsidR="001F4E85" w:rsidRPr="006E394E" w:rsidRDefault="001F4E85" w:rsidP="001F4E85">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1F4E85" w:rsidRPr="006E394E" w:rsidRDefault="001F4E85" w:rsidP="001F4E85">
      <w:pPr>
        <w:jc w:val="both"/>
        <w:rPr>
          <w:rFonts w:ascii="Arial" w:hAnsi="Arial" w:cs="Arial"/>
          <w:sz w:val="20"/>
          <w:szCs w:val="20"/>
        </w:rPr>
      </w:pPr>
      <w:r w:rsidRPr="006E394E">
        <w:rPr>
          <w:rFonts w:ascii="Arial" w:hAnsi="Arial" w:cs="Arial"/>
          <w:sz w:val="20"/>
          <w:szCs w:val="20"/>
        </w:rPr>
        <w:t>Régimen de las Personas Morales con Fines no Lucrativos.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1F4E85" w:rsidRPr="006E394E" w:rsidRDefault="001F4E85" w:rsidP="001F4E85">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w:t>
      </w:r>
      <w:proofErr w:type="spellStart"/>
      <w:r w:rsidRPr="006E394E">
        <w:rPr>
          <w:rFonts w:ascii="Arial" w:hAnsi="Arial" w:cs="Arial"/>
          <w:sz w:val="20"/>
          <w:szCs w:val="20"/>
        </w:rPr>
        <w:t>Tamazuca</w:t>
      </w:r>
      <w:proofErr w:type="spellEnd"/>
      <w:r w:rsidRPr="006E394E">
        <w:rPr>
          <w:rFonts w:ascii="Arial" w:hAnsi="Arial" w:cs="Arial"/>
          <w:sz w:val="20"/>
          <w:szCs w:val="20"/>
        </w:rPr>
        <w:t xml:space="preserve"> 4 de la colonia Guanajuato Centro, en la ciudad de Guanajuato, </w:t>
      </w:r>
      <w:proofErr w:type="spellStart"/>
      <w:r w:rsidRPr="006E394E">
        <w:rPr>
          <w:rFonts w:ascii="Arial" w:hAnsi="Arial" w:cs="Arial"/>
          <w:sz w:val="20"/>
          <w:szCs w:val="20"/>
        </w:rPr>
        <w:t>G</w:t>
      </w:r>
      <w:r>
        <w:rPr>
          <w:rFonts w:ascii="Arial" w:hAnsi="Arial" w:cs="Arial"/>
          <w:sz w:val="20"/>
          <w:szCs w:val="20"/>
        </w:rPr>
        <w:t>to</w:t>
      </w:r>
      <w:proofErr w:type="spellEnd"/>
      <w:r>
        <w:rPr>
          <w:rFonts w:ascii="Arial" w:hAnsi="Arial" w:cs="Arial"/>
          <w:sz w:val="20"/>
          <w:szCs w:val="20"/>
        </w:rPr>
        <w:t>., y C</w:t>
      </w:r>
      <w:r w:rsidRPr="006E394E">
        <w:rPr>
          <w:rFonts w:ascii="Arial" w:hAnsi="Arial" w:cs="Arial"/>
          <w:sz w:val="20"/>
          <w:szCs w:val="20"/>
        </w:rPr>
        <w:t>ódigo Postal 36000 con las siguientes obligaciones fiscales:</w:t>
      </w:r>
    </w:p>
    <w:p w:rsidR="001F4E85" w:rsidRDefault="001F4E85" w:rsidP="001F4E85">
      <w:pPr>
        <w:jc w:val="both"/>
        <w:rPr>
          <w:rFonts w:ascii="Arial" w:hAnsi="Arial" w:cs="Arial"/>
          <w:sz w:val="20"/>
          <w:szCs w:val="20"/>
          <w:u w:val="single"/>
        </w:rPr>
      </w:pPr>
    </w:p>
    <w:p w:rsidR="001F4E85" w:rsidRPr="006E394E"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sueldos y salarios.</w:t>
      </w:r>
    </w:p>
    <w:p w:rsidR="001F4E85" w:rsidRPr="006E394E"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1F4E85" w:rsidRPr="006E394E"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1F4E85" w:rsidRPr="006E394E"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1F4E85" w:rsidRPr="006E394E"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1F4E85" w:rsidRPr="006E394E"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1F4E85"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Mensual de Proveedores (DIOT).</w:t>
      </w:r>
    </w:p>
    <w:p w:rsidR="001F4E85" w:rsidRPr="006E394E" w:rsidRDefault="001F4E85" w:rsidP="001F4E85">
      <w:pPr>
        <w:pStyle w:val="Prrafodelista"/>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1F4E85" w:rsidRPr="006E394E" w:rsidRDefault="001F4E85" w:rsidP="001F4E85">
      <w:pPr>
        <w:jc w:val="both"/>
        <w:rPr>
          <w:rFonts w:ascii="Arial" w:hAnsi="Arial" w:cs="Arial"/>
          <w:sz w:val="20"/>
          <w:szCs w:val="20"/>
        </w:rPr>
      </w:pPr>
    </w:p>
    <w:p w:rsidR="001F4E85" w:rsidRPr="006E394E" w:rsidRDefault="001F4E85" w:rsidP="001F4E85">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1F4E85" w:rsidRPr="006E394E" w:rsidRDefault="001F4E85" w:rsidP="001F4E85">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1F4E85" w:rsidRPr="006E394E" w:rsidRDefault="001F4E85" w:rsidP="001F4E85">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1F4E85" w:rsidRPr="00BD32A2" w:rsidRDefault="001F4E85" w:rsidP="001F4E85">
      <w:pPr>
        <w:pStyle w:val="Prrafodelista"/>
        <w:numPr>
          <w:ilvl w:val="0"/>
          <w:numId w:val="11"/>
        </w:numPr>
        <w:jc w:val="both"/>
        <w:rPr>
          <w:rFonts w:ascii="Arial" w:hAnsi="Arial" w:cs="Arial"/>
          <w:sz w:val="20"/>
          <w:szCs w:val="20"/>
        </w:rPr>
      </w:pPr>
      <w:r w:rsidRPr="00BD32A2">
        <w:rPr>
          <w:rFonts w:ascii="Arial" w:hAnsi="Arial" w:cs="Arial"/>
          <w:sz w:val="20"/>
          <w:szCs w:val="20"/>
        </w:rPr>
        <w:t>Declaración y pago mensual de Impuesto sobre Nómina.</w:t>
      </w:r>
    </w:p>
    <w:p w:rsidR="001F4E85" w:rsidRPr="006E394E" w:rsidRDefault="001F4E85" w:rsidP="001F4E85">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Impuesto sobre Nómina</w:t>
      </w:r>
      <w:r>
        <w:rPr>
          <w:rFonts w:ascii="Arial" w:hAnsi="Arial" w:cs="Arial"/>
          <w:sz w:val="20"/>
          <w:szCs w:val="20"/>
        </w:rPr>
        <w:t>.</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lastRenderedPageBreak/>
        <w:t>f)</w:t>
      </w:r>
      <w:r w:rsidRPr="006E394E">
        <w:rPr>
          <w:rFonts w:ascii="Arial" w:hAnsi="Arial" w:cs="Arial"/>
          <w:sz w:val="20"/>
          <w:szCs w:val="20"/>
        </w:rPr>
        <w:t xml:space="preserve"> Estructura organizacional básica.</w:t>
      </w:r>
    </w:p>
    <w:p w:rsidR="001F4E85" w:rsidRDefault="001F4E85" w:rsidP="001F4E85">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1F4E85" w:rsidRPr="006E394E" w:rsidRDefault="001F4E85" w:rsidP="001F4E85">
      <w:pPr>
        <w:ind w:firstLine="708"/>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I.- Director General</w:t>
      </w:r>
    </w:p>
    <w:p w:rsidR="001F4E85" w:rsidRPr="006E394E" w:rsidRDefault="001F4E85" w:rsidP="001F4E85">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Particular</w:t>
      </w:r>
    </w:p>
    <w:p w:rsidR="001F4E85" w:rsidRPr="006E394E" w:rsidRDefault="001F4E85" w:rsidP="001F4E85">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Técnica</w:t>
      </w:r>
    </w:p>
    <w:p w:rsidR="001F4E85" w:rsidRPr="006E394E" w:rsidRDefault="001F4E85" w:rsidP="001F4E85">
      <w:pPr>
        <w:pStyle w:val="Prrafodelista"/>
        <w:numPr>
          <w:ilvl w:val="1"/>
          <w:numId w:val="14"/>
        </w:numPr>
        <w:jc w:val="both"/>
        <w:rPr>
          <w:rFonts w:ascii="Arial" w:hAnsi="Arial" w:cs="Arial"/>
          <w:i/>
          <w:sz w:val="20"/>
          <w:szCs w:val="20"/>
        </w:rPr>
      </w:pPr>
      <w:r w:rsidRPr="006E394E">
        <w:rPr>
          <w:rFonts w:ascii="Arial" w:hAnsi="Arial" w:cs="Arial"/>
          <w:i/>
          <w:sz w:val="20"/>
          <w:szCs w:val="20"/>
        </w:rPr>
        <w:t>Comunicación Social</w:t>
      </w:r>
    </w:p>
    <w:p w:rsidR="001F4E85" w:rsidRPr="006E394E" w:rsidRDefault="001F4E85" w:rsidP="001F4E85">
      <w:pPr>
        <w:pStyle w:val="Prrafodelista"/>
        <w:numPr>
          <w:ilvl w:val="1"/>
          <w:numId w:val="14"/>
        </w:numPr>
        <w:jc w:val="both"/>
        <w:rPr>
          <w:rFonts w:ascii="Arial" w:hAnsi="Arial" w:cs="Arial"/>
          <w:i/>
          <w:sz w:val="20"/>
          <w:szCs w:val="20"/>
        </w:rPr>
      </w:pPr>
      <w:r w:rsidRPr="006E394E">
        <w:rPr>
          <w:rFonts w:ascii="Arial" w:hAnsi="Arial" w:cs="Arial"/>
          <w:i/>
          <w:sz w:val="20"/>
          <w:szCs w:val="20"/>
        </w:rPr>
        <w:t>Asuntos Jurídicos</w:t>
      </w:r>
    </w:p>
    <w:p w:rsidR="001F4E85" w:rsidRPr="006E394E" w:rsidRDefault="001F4E85" w:rsidP="001F4E85">
      <w:pPr>
        <w:pStyle w:val="Prrafodelista"/>
        <w:numPr>
          <w:ilvl w:val="1"/>
          <w:numId w:val="14"/>
        </w:numPr>
        <w:jc w:val="both"/>
        <w:rPr>
          <w:rFonts w:ascii="Arial" w:hAnsi="Arial" w:cs="Arial"/>
          <w:i/>
          <w:sz w:val="20"/>
          <w:szCs w:val="20"/>
        </w:rPr>
      </w:pPr>
      <w:r>
        <w:rPr>
          <w:rFonts w:ascii="Arial" w:hAnsi="Arial" w:cs="Arial"/>
          <w:i/>
          <w:sz w:val="20"/>
          <w:szCs w:val="20"/>
        </w:rPr>
        <w:t>Órgano Interno de Control</w:t>
      </w:r>
    </w:p>
    <w:p w:rsidR="001F4E85" w:rsidRPr="006E394E" w:rsidRDefault="001F4E85" w:rsidP="001F4E85">
      <w:pPr>
        <w:pStyle w:val="Prrafodelista"/>
        <w:numPr>
          <w:ilvl w:val="1"/>
          <w:numId w:val="14"/>
        </w:numPr>
        <w:jc w:val="both"/>
        <w:rPr>
          <w:rFonts w:ascii="Arial" w:hAnsi="Arial" w:cs="Arial"/>
          <w:i/>
          <w:sz w:val="20"/>
          <w:szCs w:val="20"/>
        </w:rPr>
      </w:pPr>
      <w:r w:rsidRPr="006E394E">
        <w:rPr>
          <w:rFonts w:ascii="Arial" w:hAnsi="Arial" w:cs="Arial"/>
          <w:i/>
          <w:sz w:val="20"/>
          <w:szCs w:val="20"/>
        </w:rPr>
        <w:t>Coordinación Intersectorial</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II.- Coordinador General de Salud Pública</w:t>
      </w:r>
    </w:p>
    <w:p w:rsidR="001F4E85" w:rsidRPr="006E394E" w:rsidRDefault="001F4E85" w:rsidP="001F4E85">
      <w:pPr>
        <w:pStyle w:val="Prrafodelista"/>
        <w:numPr>
          <w:ilvl w:val="1"/>
          <w:numId w:val="20"/>
        </w:numPr>
        <w:jc w:val="both"/>
        <w:rPr>
          <w:rFonts w:ascii="Arial" w:hAnsi="Arial" w:cs="Arial"/>
          <w:i/>
          <w:sz w:val="20"/>
          <w:szCs w:val="20"/>
        </w:rPr>
      </w:pPr>
      <w:r w:rsidRPr="006E394E">
        <w:rPr>
          <w:rFonts w:ascii="Arial" w:hAnsi="Arial" w:cs="Arial"/>
          <w:i/>
          <w:sz w:val="20"/>
          <w:szCs w:val="20"/>
        </w:rPr>
        <w:t xml:space="preserve">Director General de Servicios de Salud </w:t>
      </w:r>
    </w:p>
    <w:p w:rsidR="001F4E85" w:rsidRPr="006E394E" w:rsidRDefault="001F4E85" w:rsidP="001F4E85">
      <w:pPr>
        <w:pStyle w:val="Prrafodelista"/>
        <w:numPr>
          <w:ilvl w:val="0"/>
          <w:numId w:val="15"/>
        </w:numPr>
        <w:jc w:val="both"/>
        <w:rPr>
          <w:rFonts w:ascii="Arial" w:hAnsi="Arial" w:cs="Arial"/>
          <w:sz w:val="20"/>
          <w:szCs w:val="20"/>
        </w:rPr>
      </w:pPr>
      <w:r w:rsidRPr="006E394E">
        <w:rPr>
          <w:rFonts w:ascii="Arial" w:hAnsi="Arial" w:cs="Arial"/>
          <w:sz w:val="20"/>
          <w:szCs w:val="20"/>
        </w:rPr>
        <w:t>Dirección de Atención Médica</w:t>
      </w:r>
    </w:p>
    <w:p w:rsidR="001F4E85" w:rsidRPr="006E394E" w:rsidRDefault="001F4E85" w:rsidP="001F4E85">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Pública</w:t>
      </w:r>
    </w:p>
    <w:p w:rsidR="001F4E85" w:rsidRPr="006E394E" w:rsidRDefault="001F4E85" w:rsidP="001F4E85">
      <w:pPr>
        <w:pStyle w:val="Prrafodelista"/>
        <w:numPr>
          <w:ilvl w:val="0"/>
          <w:numId w:val="15"/>
        </w:numPr>
        <w:jc w:val="both"/>
        <w:rPr>
          <w:rFonts w:ascii="Arial" w:hAnsi="Arial" w:cs="Arial"/>
          <w:sz w:val="20"/>
          <w:szCs w:val="20"/>
        </w:rPr>
      </w:pPr>
      <w:r w:rsidRPr="006E394E">
        <w:rPr>
          <w:rFonts w:ascii="Arial" w:hAnsi="Arial" w:cs="Arial"/>
          <w:sz w:val="20"/>
          <w:szCs w:val="20"/>
        </w:rPr>
        <w:t>Dirección de Enseñanza e Investigación</w:t>
      </w:r>
    </w:p>
    <w:p w:rsidR="001F4E85" w:rsidRPr="006E394E" w:rsidRDefault="001F4E85" w:rsidP="001F4E85">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Mental</w:t>
      </w:r>
    </w:p>
    <w:p w:rsidR="001F4E85" w:rsidRPr="006E394E" w:rsidRDefault="001F4E85" w:rsidP="001F4E85">
      <w:pPr>
        <w:pStyle w:val="Prrafodelista"/>
        <w:numPr>
          <w:ilvl w:val="0"/>
          <w:numId w:val="15"/>
        </w:numPr>
        <w:jc w:val="both"/>
        <w:rPr>
          <w:rFonts w:ascii="Arial" w:hAnsi="Arial" w:cs="Arial"/>
          <w:sz w:val="20"/>
          <w:szCs w:val="20"/>
        </w:rPr>
      </w:pPr>
      <w:r w:rsidRPr="006E394E">
        <w:rPr>
          <w:rFonts w:ascii="Arial" w:hAnsi="Arial" w:cs="Arial"/>
          <w:sz w:val="20"/>
          <w:szCs w:val="20"/>
        </w:rPr>
        <w:t>Dirección de Extensión de Cobertura</w:t>
      </w:r>
    </w:p>
    <w:p w:rsidR="001F4E85" w:rsidRDefault="001F4E85" w:rsidP="001F4E85">
      <w:pPr>
        <w:pStyle w:val="Prrafodelista"/>
        <w:ind w:left="360"/>
        <w:jc w:val="both"/>
        <w:rPr>
          <w:rFonts w:ascii="Arial" w:hAnsi="Arial" w:cs="Arial"/>
          <w:sz w:val="20"/>
          <w:szCs w:val="20"/>
        </w:rPr>
      </w:pPr>
    </w:p>
    <w:p w:rsidR="001F4E85" w:rsidRPr="006E394E" w:rsidRDefault="001F4E85" w:rsidP="001F4E85">
      <w:pPr>
        <w:pStyle w:val="Prrafodelista"/>
        <w:numPr>
          <w:ilvl w:val="1"/>
          <w:numId w:val="20"/>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1F4E85" w:rsidRPr="006E394E" w:rsidRDefault="001F4E85" w:rsidP="001F4E85">
      <w:pPr>
        <w:pStyle w:val="Prrafodelista"/>
        <w:numPr>
          <w:ilvl w:val="0"/>
          <w:numId w:val="16"/>
        </w:numPr>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III.- Coordinador General de Administración y Finanzas</w:t>
      </w:r>
    </w:p>
    <w:p w:rsidR="001F4E85" w:rsidRPr="006E394E" w:rsidRDefault="001F4E85" w:rsidP="001F4E85">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Administración</w:t>
      </w:r>
    </w:p>
    <w:p w:rsidR="001F4E85" w:rsidRPr="006E394E" w:rsidRDefault="001F4E85" w:rsidP="001F4E85">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1F4E85" w:rsidRPr="006E394E" w:rsidRDefault="001F4E85" w:rsidP="001F4E85">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1F4E85" w:rsidRPr="006E394E" w:rsidRDefault="001F4E85" w:rsidP="001F4E85">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1F4E85" w:rsidRDefault="001F4E85" w:rsidP="001F4E85">
      <w:pPr>
        <w:jc w:val="both"/>
        <w:rPr>
          <w:rFonts w:ascii="Arial" w:hAnsi="Arial" w:cs="Arial"/>
          <w:sz w:val="20"/>
          <w:szCs w:val="20"/>
        </w:rPr>
      </w:pPr>
    </w:p>
    <w:p w:rsidR="001F4E85" w:rsidRPr="006E394E" w:rsidRDefault="001F4E85" w:rsidP="001F4E85">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Recursos Humanos</w:t>
      </w:r>
    </w:p>
    <w:p w:rsidR="001F4E85" w:rsidRPr="006E394E" w:rsidRDefault="001F4E85" w:rsidP="001F4E85">
      <w:pPr>
        <w:pStyle w:val="Prrafodelista"/>
        <w:numPr>
          <w:ilvl w:val="0"/>
          <w:numId w:val="18"/>
        </w:numPr>
        <w:jc w:val="both"/>
        <w:rPr>
          <w:rFonts w:ascii="Arial" w:hAnsi="Arial" w:cs="Arial"/>
          <w:sz w:val="20"/>
          <w:szCs w:val="20"/>
        </w:rPr>
      </w:pPr>
      <w:r w:rsidRPr="006E394E">
        <w:rPr>
          <w:rFonts w:ascii="Arial" w:hAnsi="Arial" w:cs="Arial"/>
          <w:sz w:val="20"/>
          <w:szCs w:val="20"/>
        </w:rPr>
        <w:t>Dirección de Desarrollo Humano</w:t>
      </w:r>
    </w:p>
    <w:p w:rsidR="001F4E85" w:rsidRPr="006E394E" w:rsidRDefault="001F4E85" w:rsidP="001F4E85">
      <w:pPr>
        <w:pStyle w:val="Prrafodelista"/>
        <w:numPr>
          <w:ilvl w:val="0"/>
          <w:numId w:val="18"/>
        </w:numPr>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1F4E85" w:rsidRPr="006E394E" w:rsidRDefault="001F4E85" w:rsidP="001F4E85">
      <w:pPr>
        <w:jc w:val="both"/>
        <w:rPr>
          <w:rFonts w:ascii="Arial" w:hAnsi="Arial" w:cs="Arial"/>
          <w:sz w:val="20"/>
          <w:szCs w:val="20"/>
        </w:rPr>
      </w:pPr>
    </w:p>
    <w:p w:rsidR="001F4E85" w:rsidRPr="006E394E" w:rsidRDefault="001F4E85" w:rsidP="001F4E85">
      <w:pPr>
        <w:pStyle w:val="Prrafodelista"/>
        <w:numPr>
          <w:ilvl w:val="1"/>
          <w:numId w:val="15"/>
        </w:numPr>
        <w:jc w:val="both"/>
        <w:rPr>
          <w:rFonts w:ascii="Arial" w:hAnsi="Arial" w:cs="Arial"/>
          <w:i/>
          <w:sz w:val="20"/>
          <w:szCs w:val="20"/>
        </w:rPr>
      </w:pPr>
      <w:r w:rsidRPr="006E394E">
        <w:rPr>
          <w:rFonts w:ascii="Arial" w:hAnsi="Arial" w:cs="Arial"/>
          <w:i/>
          <w:sz w:val="20"/>
          <w:szCs w:val="20"/>
        </w:rPr>
        <w:t xml:space="preserve">Director General de Planeación y Desarrollo </w:t>
      </w:r>
    </w:p>
    <w:p w:rsidR="001F4E85" w:rsidRPr="006E394E" w:rsidRDefault="001F4E85" w:rsidP="001F4E85">
      <w:pPr>
        <w:pStyle w:val="Prrafodelista"/>
        <w:numPr>
          <w:ilvl w:val="0"/>
          <w:numId w:val="19"/>
        </w:numPr>
        <w:jc w:val="both"/>
        <w:rPr>
          <w:rFonts w:ascii="Arial" w:hAnsi="Arial" w:cs="Arial"/>
          <w:sz w:val="20"/>
          <w:szCs w:val="20"/>
        </w:rPr>
      </w:pPr>
      <w:r w:rsidRPr="006E394E">
        <w:rPr>
          <w:rFonts w:ascii="Arial" w:hAnsi="Arial" w:cs="Arial"/>
          <w:sz w:val="20"/>
          <w:szCs w:val="20"/>
        </w:rPr>
        <w:t>Dirección de Planeación</w:t>
      </w:r>
    </w:p>
    <w:p w:rsidR="001F4E85" w:rsidRPr="006E394E" w:rsidRDefault="001F4E85" w:rsidP="001F4E85">
      <w:pPr>
        <w:pStyle w:val="Prrafodelista"/>
        <w:numPr>
          <w:ilvl w:val="0"/>
          <w:numId w:val="19"/>
        </w:numPr>
        <w:jc w:val="both"/>
        <w:rPr>
          <w:rFonts w:ascii="Arial" w:hAnsi="Arial" w:cs="Arial"/>
          <w:sz w:val="20"/>
          <w:szCs w:val="20"/>
        </w:rPr>
      </w:pPr>
      <w:r w:rsidRPr="006E394E">
        <w:rPr>
          <w:rFonts w:ascii="Arial" w:hAnsi="Arial" w:cs="Arial"/>
          <w:sz w:val="20"/>
          <w:szCs w:val="20"/>
        </w:rPr>
        <w:t>Dirección de Desarrollo Institucional</w:t>
      </w:r>
    </w:p>
    <w:p w:rsidR="001F4E85" w:rsidRPr="006E394E" w:rsidRDefault="001F4E85" w:rsidP="001F4E85">
      <w:pPr>
        <w:pStyle w:val="Prrafodelista"/>
        <w:numPr>
          <w:ilvl w:val="0"/>
          <w:numId w:val="19"/>
        </w:numPr>
        <w:jc w:val="both"/>
        <w:rPr>
          <w:rFonts w:ascii="Arial" w:hAnsi="Arial" w:cs="Arial"/>
          <w:sz w:val="20"/>
          <w:szCs w:val="20"/>
        </w:rPr>
      </w:pPr>
      <w:r w:rsidRPr="006E394E">
        <w:rPr>
          <w:rFonts w:ascii="Arial" w:hAnsi="Arial" w:cs="Arial"/>
          <w:sz w:val="20"/>
          <w:szCs w:val="20"/>
        </w:rPr>
        <w:t xml:space="preserve">Dirección de Infraestructura </w:t>
      </w:r>
    </w:p>
    <w:p w:rsidR="001F4E85" w:rsidRPr="006E394E" w:rsidRDefault="001F4E85" w:rsidP="001F4E85">
      <w:pPr>
        <w:pStyle w:val="Prrafodelista"/>
        <w:numPr>
          <w:ilvl w:val="0"/>
          <w:numId w:val="19"/>
        </w:numPr>
        <w:jc w:val="both"/>
        <w:rPr>
          <w:rFonts w:ascii="Arial" w:hAnsi="Arial" w:cs="Arial"/>
          <w:sz w:val="20"/>
          <w:szCs w:val="20"/>
        </w:rPr>
      </w:pPr>
      <w:r w:rsidRPr="006E394E">
        <w:rPr>
          <w:rFonts w:ascii="Arial" w:hAnsi="Arial" w:cs="Arial"/>
          <w:sz w:val="20"/>
          <w:szCs w:val="20"/>
        </w:rPr>
        <w:t>Dirección de Ingeniería Biomédica</w:t>
      </w:r>
    </w:p>
    <w:p w:rsidR="001F4E85" w:rsidRPr="006E394E" w:rsidRDefault="001F4E85" w:rsidP="001F4E85">
      <w:pPr>
        <w:jc w:val="both"/>
        <w:rPr>
          <w:rFonts w:ascii="Arial" w:hAnsi="Arial" w:cs="Arial"/>
          <w:sz w:val="20"/>
          <w:szCs w:val="20"/>
          <w:u w:val="single"/>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Fideicomisos, mandatos y análogos de los cuales es fideicomitente o fideicomisario.</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lastRenderedPageBreak/>
        <w:t>El Instituto de Salud Pública del Estado de Guanajuato no tiene suscrito algún Fideicomiso, mandato y/o análogo.</w:t>
      </w:r>
    </w:p>
    <w:p w:rsidR="001F4E85" w:rsidRDefault="001F4E85" w:rsidP="001F4E85">
      <w:pPr>
        <w:jc w:val="both"/>
        <w:rPr>
          <w:rFonts w:ascii="Arial" w:hAnsi="Arial" w:cs="Arial"/>
          <w:sz w:val="20"/>
          <w:szCs w:val="20"/>
        </w:rPr>
      </w:pPr>
    </w:p>
    <w:p w:rsidR="006B48FF" w:rsidRPr="006E394E" w:rsidRDefault="006B48FF" w:rsidP="001F4E85">
      <w:pPr>
        <w:jc w:val="both"/>
        <w:rPr>
          <w:rFonts w:ascii="Arial" w:hAnsi="Arial" w:cs="Arial"/>
          <w:sz w:val="20"/>
          <w:szCs w:val="20"/>
        </w:rPr>
      </w:pPr>
    </w:p>
    <w:p w:rsidR="001F4E85" w:rsidRDefault="001F4E85" w:rsidP="001F4E85">
      <w:pPr>
        <w:jc w:val="both"/>
        <w:rPr>
          <w:rFonts w:ascii="Arial" w:hAnsi="Arial" w:cs="Arial"/>
          <w:b/>
          <w:sz w:val="20"/>
          <w:szCs w:val="20"/>
        </w:rPr>
      </w:pPr>
      <w:r w:rsidRPr="006E394E">
        <w:rPr>
          <w:rFonts w:ascii="Arial" w:hAnsi="Arial" w:cs="Arial"/>
          <w:b/>
          <w:sz w:val="20"/>
          <w:szCs w:val="20"/>
        </w:rPr>
        <w:t>5. Bases de Preparación de los Estados Financieros:</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Se informará sobre:</w:t>
      </w: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1F4E85" w:rsidRDefault="001F4E85" w:rsidP="001F4E85">
      <w:pPr>
        <w:jc w:val="both"/>
        <w:rPr>
          <w:rFonts w:ascii="Arial" w:hAnsi="Arial" w:cs="Arial"/>
          <w:sz w:val="20"/>
          <w:szCs w:val="20"/>
        </w:rPr>
      </w:pPr>
      <w:r w:rsidRPr="006E394E">
        <w:rPr>
          <w:rFonts w:ascii="Arial" w:hAnsi="Arial" w:cs="Arial"/>
          <w:sz w:val="20"/>
          <w:szCs w:val="20"/>
        </w:rPr>
        <w:t xml:space="preserve">Los Estados Financieros del Instituto de </w:t>
      </w:r>
      <w:r>
        <w:rPr>
          <w:rFonts w:ascii="Arial" w:hAnsi="Arial" w:cs="Arial"/>
          <w:sz w:val="20"/>
          <w:szCs w:val="20"/>
        </w:rPr>
        <w:t>S</w:t>
      </w:r>
      <w:r w:rsidRPr="006E394E">
        <w:rPr>
          <w:rFonts w:ascii="Arial" w:hAnsi="Arial" w:cs="Arial"/>
          <w:sz w:val="20"/>
          <w:szCs w:val="20"/>
        </w:rPr>
        <w:t>alud Pública del Estado de Guanaj</w:t>
      </w:r>
      <w:r>
        <w:rPr>
          <w:rFonts w:ascii="Arial" w:hAnsi="Arial" w:cs="Arial"/>
          <w:sz w:val="20"/>
          <w:szCs w:val="20"/>
        </w:rPr>
        <w:t xml:space="preserve">uato, correspondientes al </w:t>
      </w:r>
      <w:r w:rsidR="006B023A">
        <w:rPr>
          <w:rFonts w:ascii="Arial" w:hAnsi="Arial" w:cs="Arial"/>
          <w:sz w:val="20"/>
          <w:szCs w:val="20"/>
        </w:rPr>
        <w:t>tercer</w:t>
      </w:r>
      <w:r w:rsidRPr="00B62E5D">
        <w:rPr>
          <w:rFonts w:ascii="Arial" w:hAnsi="Arial" w:cs="Arial"/>
          <w:sz w:val="20"/>
          <w:szCs w:val="20"/>
        </w:rPr>
        <w:t xml:space="preserve"> trimestre del</w:t>
      </w:r>
      <w:r w:rsidRPr="006E394E">
        <w:rPr>
          <w:rFonts w:ascii="Arial" w:hAnsi="Arial" w:cs="Arial"/>
          <w:sz w:val="20"/>
          <w:szCs w:val="20"/>
        </w:rPr>
        <w:t xml:space="preserve"> presente año</w:t>
      </w:r>
      <w:r>
        <w:rPr>
          <w:rFonts w:ascii="Arial" w:hAnsi="Arial" w:cs="Arial"/>
          <w:sz w:val="20"/>
          <w:szCs w:val="20"/>
        </w:rPr>
        <w:t xml:space="preserve"> y que conformarán la cuenta pública</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IX.- Valuación.</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1F4E85" w:rsidRDefault="001F4E85" w:rsidP="001F4E85">
      <w:pPr>
        <w:jc w:val="both"/>
        <w:rPr>
          <w:rFonts w:ascii="Arial" w:hAnsi="Arial" w:cs="Arial"/>
          <w:sz w:val="20"/>
          <w:szCs w:val="20"/>
        </w:rPr>
      </w:pPr>
      <w:r w:rsidRPr="006E394E">
        <w:rPr>
          <w:rFonts w:ascii="Arial" w:hAnsi="Arial" w:cs="Arial"/>
          <w:sz w:val="20"/>
          <w:szCs w:val="20"/>
        </w:rPr>
        <w:t xml:space="preserve">El Marco Conceptual de Contabilidad Gubernamental (MCCG), es la base del Sistema de Contabilidad Gubernamental del Instituto, constituyéndose en el referente teórico que define, delimita, interrelaciona e integra de forma lógico-deductiva sus objetivos y fundamentos. </w:t>
      </w:r>
      <w:proofErr w:type="gramStart"/>
      <w:r w:rsidRPr="006E394E">
        <w:rPr>
          <w:rFonts w:ascii="Arial" w:hAnsi="Arial" w:cs="Arial"/>
          <w:sz w:val="20"/>
          <w:szCs w:val="20"/>
        </w:rPr>
        <w:t>Además</w:t>
      </w:r>
      <w:proofErr w:type="gramEnd"/>
      <w:r w:rsidRPr="006E394E">
        <w:rPr>
          <w:rFonts w:ascii="Arial" w:hAnsi="Arial" w:cs="Arial"/>
          <w:sz w:val="20"/>
          <w:szCs w:val="20"/>
        </w:rPr>
        <w:t xml:space="preserve"> establece los criterios necesarios para el desarrollo de normas, valuación, contabilización, obtención y presentación de información contable y presupuestaria, en forma clara, oportuna, confiable y comparable, para satisfacer las necesidades de los usuarios.</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1F4E85" w:rsidRPr="006E394E" w:rsidRDefault="001F4E85" w:rsidP="001F4E85">
      <w:pPr>
        <w:jc w:val="both"/>
        <w:rPr>
          <w:rFonts w:ascii="Arial" w:hAnsi="Arial" w:cs="Arial"/>
          <w:sz w:val="20"/>
          <w:szCs w:val="20"/>
          <w:u w:val="single"/>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lastRenderedPageBreak/>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deberán:</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*Revelar las nuevas políticas de reconocimiento:</w:t>
      </w:r>
    </w:p>
    <w:p w:rsidR="001F4E85" w:rsidRPr="006E394E" w:rsidRDefault="001F4E85" w:rsidP="001F4E85">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*Plan de implementación:</w:t>
      </w:r>
    </w:p>
    <w:p w:rsidR="001F4E85" w:rsidRDefault="001F4E85" w:rsidP="001F4E85">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desde el ejercicio 2011.</w:t>
      </w:r>
    </w:p>
    <w:p w:rsidR="006B48FF" w:rsidRPr="006E394E" w:rsidRDefault="006B48FF"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1F4E85" w:rsidRDefault="001F4E85" w:rsidP="001F4E85">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lo que permitió que la información financiera plasmada en los Estados Financieros pueda ser comparada tomando como base las cifras del citado ejercicio contra los subsecuentes. </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6. Políticas de Contabilidad Significativas:</w:t>
      </w:r>
    </w:p>
    <w:p w:rsidR="001F4E85" w:rsidRPr="006E394E" w:rsidRDefault="001F4E85" w:rsidP="001F4E85">
      <w:pPr>
        <w:jc w:val="both"/>
        <w:rPr>
          <w:rFonts w:ascii="Arial" w:hAnsi="Arial" w:cs="Arial"/>
          <w:sz w:val="20"/>
          <w:szCs w:val="20"/>
        </w:rPr>
      </w:pPr>
      <w:r w:rsidRPr="006E394E">
        <w:rPr>
          <w:rFonts w:ascii="Arial" w:hAnsi="Arial" w:cs="Arial"/>
          <w:sz w:val="20"/>
          <w:szCs w:val="20"/>
        </w:rPr>
        <w:t>Se informará sobre:</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1F4E85" w:rsidRDefault="001F4E85" w:rsidP="001F4E85">
      <w:pPr>
        <w:jc w:val="both"/>
        <w:rPr>
          <w:rFonts w:ascii="Arial" w:hAnsi="Arial" w:cs="Arial"/>
          <w:b/>
          <w:sz w:val="20"/>
          <w:szCs w:val="20"/>
        </w:rPr>
      </w:pPr>
    </w:p>
    <w:p w:rsidR="001F4E85" w:rsidRDefault="001F4E85" w:rsidP="001F4E85">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Reservas registradas en su contabilidad.</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2B69D8" w:rsidRDefault="002B69D8" w:rsidP="001F4E85">
      <w:pPr>
        <w:jc w:val="both"/>
        <w:rPr>
          <w:rFonts w:ascii="Arial" w:hAnsi="Arial" w:cs="Arial"/>
          <w:sz w:val="20"/>
          <w:szCs w:val="20"/>
        </w:rPr>
      </w:pPr>
    </w:p>
    <w:p w:rsidR="001F4E85" w:rsidRPr="005A64CF" w:rsidRDefault="002B69D8" w:rsidP="001F4E85">
      <w:pPr>
        <w:jc w:val="both"/>
        <w:rPr>
          <w:rFonts w:ascii="Arial" w:hAnsi="Arial" w:cs="Arial"/>
          <w:sz w:val="20"/>
          <w:szCs w:val="20"/>
        </w:rPr>
      </w:pPr>
      <w:r>
        <w:rPr>
          <w:rFonts w:ascii="Arial" w:hAnsi="Arial" w:cs="Arial"/>
          <w:sz w:val="20"/>
          <w:szCs w:val="20"/>
        </w:rPr>
        <w:t>Se</w:t>
      </w:r>
      <w:r w:rsidR="001F4E85" w:rsidRPr="005A64CF">
        <w:rPr>
          <w:rFonts w:ascii="Arial" w:hAnsi="Arial" w:cs="Arial"/>
          <w:sz w:val="20"/>
          <w:szCs w:val="20"/>
        </w:rPr>
        <w:t xml:space="preserve"> modificó el proceso de registro de los inventarios de consumibles, correspondientes a partidas de los capítulos 2000 y 3000, ajustándose los movimientos desde enero a diciembre de 2022 y 2023, por lo cual no se hacen comparables al ejercicio de 2021. </w:t>
      </w:r>
    </w:p>
    <w:p w:rsidR="001F4E85" w:rsidRPr="005A64CF"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5A64CF">
        <w:rPr>
          <w:rFonts w:ascii="Arial" w:hAnsi="Arial" w:cs="Arial"/>
          <w:sz w:val="20"/>
          <w:szCs w:val="20"/>
        </w:rPr>
        <w:t>Así mismo, se modifica la estructura de las cuentas bancarias para el presente ejercicio.</w:t>
      </w:r>
    </w:p>
    <w:p w:rsidR="001F4E85" w:rsidRDefault="001F4E85" w:rsidP="001F4E85">
      <w:pPr>
        <w:jc w:val="both"/>
        <w:rPr>
          <w:rFonts w:ascii="Arial" w:hAnsi="Arial" w:cs="Arial"/>
          <w:sz w:val="20"/>
          <w:szCs w:val="20"/>
        </w:rPr>
      </w:pPr>
    </w:p>
    <w:p w:rsidR="001F4E85" w:rsidRPr="00DE64AF" w:rsidRDefault="001F4E85" w:rsidP="001F4E85">
      <w:pPr>
        <w:jc w:val="both"/>
        <w:rPr>
          <w:rFonts w:ascii="Arial" w:hAnsi="Arial" w:cs="Arial"/>
          <w:sz w:val="20"/>
          <w:szCs w:val="20"/>
        </w:rPr>
      </w:pPr>
      <w:r w:rsidRPr="00DE64AF">
        <w:rPr>
          <w:rFonts w:ascii="Arial" w:hAnsi="Arial" w:cs="Arial"/>
          <w:b/>
          <w:sz w:val="20"/>
          <w:szCs w:val="20"/>
        </w:rPr>
        <w:t>i)</w:t>
      </w:r>
      <w:r w:rsidRPr="00DE64AF">
        <w:rPr>
          <w:rFonts w:ascii="Arial" w:hAnsi="Arial" w:cs="Arial"/>
          <w:sz w:val="20"/>
          <w:szCs w:val="20"/>
        </w:rPr>
        <w:t xml:space="preserve"> Reclasificaciones: Se deben revelar todos aquellos movimientos entre cuentas por efectos de cambios en los tipos de operaciones:</w:t>
      </w:r>
    </w:p>
    <w:p w:rsidR="001F4E85" w:rsidRPr="00DE64AF" w:rsidRDefault="001F4E85" w:rsidP="001F4E85">
      <w:pPr>
        <w:jc w:val="both"/>
        <w:rPr>
          <w:rFonts w:ascii="Arial" w:hAnsi="Arial" w:cs="Arial"/>
          <w:sz w:val="20"/>
          <w:szCs w:val="20"/>
        </w:rPr>
      </w:pPr>
      <w:r w:rsidRPr="00DE64AF">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1F4E85" w:rsidRPr="00DE64AF" w:rsidRDefault="001F4E85" w:rsidP="001F4E85">
      <w:pPr>
        <w:jc w:val="both"/>
        <w:rPr>
          <w:rFonts w:ascii="Arial" w:hAnsi="Arial" w:cs="Arial"/>
          <w:sz w:val="20"/>
          <w:szCs w:val="20"/>
        </w:rPr>
      </w:pPr>
      <w:r w:rsidRPr="00DE64AF">
        <w:rPr>
          <w:rFonts w:ascii="Arial" w:hAnsi="Arial" w:cs="Arial"/>
          <w:sz w:val="20"/>
          <w:szCs w:val="20"/>
        </w:rPr>
        <w:t xml:space="preserve"> </w:t>
      </w:r>
    </w:p>
    <w:p w:rsidR="001F4E85" w:rsidRPr="00DE64AF" w:rsidRDefault="001F4E85" w:rsidP="001F4E85">
      <w:pPr>
        <w:jc w:val="both"/>
        <w:rPr>
          <w:rFonts w:ascii="Arial" w:hAnsi="Arial" w:cs="Arial"/>
          <w:sz w:val="20"/>
          <w:szCs w:val="20"/>
        </w:rPr>
      </w:pPr>
      <w:r w:rsidRPr="00DE64AF">
        <w:rPr>
          <w:rFonts w:ascii="Arial" w:hAnsi="Arial" w:cs="Arial"/>
          <w:b/>
          <w:sz w:val="20"/>
          <w:szCs w:val="20"/>
        </w:rPr>
        <w:t>j)</w:t>
      </w:r>
      <w:r w:rsidRPr="00DE64AF">
        <w:rPr>
          <w:rFonts w:ascii="Arial" w:hAnsi="Arial" w:cs="Arial"/>
          <w:sz w:val="20"/>
          <w:szCs w:val="20"/>
        </w:rPr>
        <w:t xml:space="preserve"> Depuración y cancelación de saldos:</w:t>
      </w:r>
    </w:p>
    <w:p w:rsidR="001F4E85" w:rsidRDefault="001F4E85" w:rsidP="001F4E85">
      <w:pPr>
        <w:jc w:val="both"/>
        <w:rPr>
          <w:rFonts w:ascii="Arial" w:hAnsi="Arial" w:cs="Arial"/>
          <w:sz w:val="20"/>
          <w:szCs w:val="20"/>
        </w:rPr>
      </w:pPr>
      <w:r w:rsidRPr="00DE64AF">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1F4E85" w:rsidRDefault="001F4E85" w:rsidP="001F4E85">
      <w:pPr>
        <w:jc w:val="both"/>
        <w:rPr>
          <w:rFonts w:ascii="Arial" w:hAnsi="Arial" w:cs="Arial"/>
          <w:sz w:val="20"/>
          <w:szCs w:val="20"/>
        </w:rPr>
      </w:pPr>
    </w:p>
    <w:p w:rsidR="006B48FF" w:rsidRPr="006E394E" w:rsidRDefault="006B48FF"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1F4E85" w:rsidRPr="006E394E" w:rsidRDefault="001F4E85" w:rsidP="001F4E85">
      <w:pPr>
        <w:jc w:val="both"/>
        <w:rPr>
          <w:rFonts w:ascii="Arial" w:hAnsi="Arial" w:cs="Arial"/>
          <w:sz w:val="20"/>
          <w:szCs w:val="20"/>
        </w:rPr>
      </w:pPr>
      <w:r w:rsidRPr="006E394E">
        <w:rPr>
          <w:rFonts w:ascii="Arial" w:hAnsi="Arial" w:cs="Arial"/>
          <w:sz w:val="20"/>
          <w:szCs w:val="20"/>
        </w:rPr>
        <w:t>Se informará sobre:</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lastRenderedPageBreak/>
        <w:t xml:space="preserve">c) </w:t>
      </w:r>
      <w:r w:rsidRPr="006E394E">
        <w:rPr>
          <w:rFonts w:ascii="Arial" w:hAnsi="Arial" w:cs="Arial"/>
          <w:sz w:val="20"/>
          <w:szCs w:val="20"/>
        </w:rPr>
        <w:t>Posición en moneda extranjera:</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8. Reporte Analítico del Activo:</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Debe mostrar la siguiente información:</w:t>
      </w: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1F4E85" w:rsidRPr="006E394E" w:rsidRDefault="001F4E85" w:rsidP="001F4E85">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167"/>
        <w:gridCol w:w="1175"/>
        <w:gridCol w:w="4195"/>
        <w:gridCol w:w="1134"/>
        <w:gridCol w:w="992"/>
      </w:tblGrid>
      <w:tr w:rsidR="001F4E85" w:rsidRPr="00FE4E32" w:rsidTr="00E10430">
        <w:trPr>
          <w:trHeight w:val="900"/>
        </w:trPr>
        <w:tc>
          <w:tcPr>
            <w:tcW w:w="1128" w:type="dxa"/>
            <w:shd w:val="clear" w:color="000000" w:fill="BFBFBF"/>
            <w:vAlign w:val="center"/>
            <w:hideMark/>
          </w:tcPr>
          <w:p w:rsidR="001F4E85" w:rsidRPr="00FE4E32" w:rsidRDefault="001F4E85" w:rsidP="00E10430">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1F4E85" w:rsidRPr="00FE4E32" w:rsidRDefault="001F4E85" w:rsidP="00E10430">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1F4E85" w:rsidRPr="00FE4E32" w:rsidRDefault="001F4E85" w:rsidP="00E10430">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1F4E85" w:rsidRPr="00FE4E32" w:rsidRDefault="001F4E85" w:rsidP="00E10430">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1F4E85" w:rsidRPr="00FE4E32" w:rsidRDefault="001F4E85" w:rsidP="00E10430">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1F4E85" w:rsidRPr="00FE4E32" w:rsidRDefault="001F4E85" w:rsidP="00E10430">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1F4E85" w:rsidRPr="00FE4E32" w:rsidRDefault="001F4E85" w:rsidP="00E10430">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N/A</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1F4E85" w:rsidRPr="00FE4E32" w:rsidRDefault="001F4E85" w:rsidP="00E10430">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N/A</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1F4E85" w:rsidRDefault="001F4E85" w:rsidP="001F4E85">
      <w:pPr>
        <w:jc w:val="both"/>
        <w:rPr>
          <w:rFonts w:cs="Calibri"/>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Pr>
          <w:rFonts w:ascii="Arial" w:hAnsi="Arial" w:cs="Arial"/>
          <w:sz w:val="20"/>
          <w:szCs w:val="20"/>
        </w:rPr>
        <w:t>.</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bienes inmovilizados.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1F4E85" w:rsidRPr="006E394E" w:rsidRDefault="001F4E85" w:rsidP="001F4E85">
      <w:pPr>
        <w:jc w:val="both"/>
        <w:rPr>
          <w:rFonts w:ascii="Arial" w:hAnsi="Arial" w:cs="Arial"/>
          <w:sz w:val="20"/>
          <w:szCs w:val="20"/>
        </w:rPr>
      </w:pPr>
      <w:r w:rsidRPr="006E394E">
        <w:rPr>
          <w:rFonts w:ascii="Arial" w:hAnsi="Arial" w:cs="Arial"/>
          <w:sz w:val="20"/>
          <w:szCs w:val="20"/>
        </w:rPr>
        <w:lastRenderedPageBreak/>
        <w:t>El Instituto no tiene bienes en garantía, señalados en embargos, litigios, títulos de inversiones entregados en garantías, baja significativa del valor de inversiones financieras.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w:t>
      </w:r>
      <w:r>
        <w:rPr>
          <w:rFonts w:ascii="Arial" w:hAnsi="Arial" w:cs="Arial"/>
          <w:sz w:val="20"/>
          <w:szCs w:val="20"/>
        </w:rPr>
        <w:t>A</w:t>
      </w:r>
      <w:r w:rsidRPr="006E394E">
        <w:rPr>
          <w:rFonts w:ascii="Arial" w:hAnsi="Arial" w:cs="Arial"/>
          <w:sz w:val="20"/>
          <w:szCs w:val="20"/>
        </w:rPr>
        <w:t>ctivos; planeación con el objetivo de que el ente los utilice de manera más efectiva:</w:t>
      </w:r>
    </w:p>
    <w:p w:rsidR="001F4E85" w:rsidRPr="006E394E" w:rsidRDefault="001F4E85" w:rsidP="001F4E85">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1F4E85" w:rsidRPr="006E394E" w:rsidRDefault="001F4E85" w:rsidP="001F4E85">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Inversiones en valores.</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w:t>
      </w:r>
      <w:r>
        <w:rPr>
          <w:rFonts w:ascii="Arial" w:hAnsi="Arial" w:cs="Arial"/>
          <w:sz w:val="20"/>
          <w:szCs w:val="20"/>
        </w:rPr>
        <w:t>o</w:t>
      </w:r>
      <w:r w:rsidRPr="006E394E">
        <w:rPr>
          <w:rFonts w:ascii="Arial" w:hAnsi="Arial" w:cs="Arial"/>
          <w:sz w:val="20"/>
          <w:szCs w:val="20"/>
        </w:rPr>
        <w:t xml:space="preserve">rganismos </w:t>
      </w:r>
      <w:r>
        <w:rPr>
          <w:rFonts w:ascii="Arial" w:hAnsi="Arial" w:cs="Arial"/>
          <w:sz w:val="20"/>
          <w:szCs w:val="20"/>
        </w:rPr>
        <w:t>d</w:t>
      </w:r>
      <w:r w:rsidRPr="006E394E">
        <w:rPr>
          <w:rFonts w:ascii="Arial" w:hAnsi="Arial" w:cs="Arial"/>
          <w:sz w:val="20"/>
          <w:szCs w:val="20"/>
        </w:rPr>
        <w:t xml:space="preserve">escentralizados de </w:t>
      </w:r>
      <w:r>
        <w:rPr>
          <w:rFonts w:ascii="Arial" w:hAnsi="Arial" w:cs="Arial"/>
          <w:sz w:val="20"/>
          <w:szCs w:val="20"/>
        </w:rPr>
        <w:t>c</w:t>
      </w:r>
      <w:r w:rsidRPr="006E394E">
        <w:rPr>
          <w:rFonts w:ascii="Arial" w:hAnsi="Arial" w:cs="Arial"/>
          <w:sz w:val="20"/>
          <w:szCs w:val="20"/>
        </w:rPr>
        <w:t xml:space="preserve">ontrol </w:t>
      </w:r>
      <w:r>
        <w:rPr>
          <w:rFonts w:ascii="Arial" w:hAnsi="Arial" w:cs="Arial"/>
          <w:sz w:val="20"/>
          <w:szCs w:val="20"/>
        </w:rPr>
        <w:t>p</w:t>
      </w:r>
      <w:r w:rsidRPr="006E394E">
        <w:rPr>
          <w:rFonts w:ascii="Arial" w:hAnsi="Arial" w:cs="Arial"/>
          <w:sz w:val="20"/>
          <w:szCs w:val="20"/>
        </w:rPr>
        <w:t xml:space="preserve">resupuestario </w:t>
      </w:r>
      <w:r>
        <w:rPr>
          <w:rFonts w:ascii="Arial" w:hAnsi="Arial" w:cs="Arial"/>
          <w:sz w:val="20"/>
          <w:szCs w:val="20"/>
        </w:rPr>
        <w:t>i</w:t>
      </w:r>
      <w:r w:rsidRPr="006E394E">
        <w:rPr>
          <w:rFonts w:ascii="Arial" w:hAnsi="Arial" w:cs="Arial"/>
          <w:sz w:val="20"/>
          <w:szCs w:val="20"/>
        </w:rPr>
        <w:t>ndirecto:</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1F4E85" w:rsidRDefault="001F4E85" w:rsidP="001F4E85">
      <w:pPr>
        <w:jc w:val="both"/>
        <w:rPr>
          <w:rFonts w:ascii="Arial" w:hAnsi="Arial" w:cs="Arial"/>
          <w:sz w:val="20"/>
          <w:szCs w:val="20"/>
        </w:rPr>
      </w:pPr>
    </w:p>
    <w:p w:rsidR="001B2C8B" w:rsidRPr="006E394E" w:rsidRDefault="001B2C8B"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9. Fideicomisos, Mandatos y Análogos:</w:t>
      </w:r>
    </w:p>
    <w:p w:rsidR="001F4E85" w:rsidRPr="006E394E" w:rsidRDefault="001F4E85" w:rsidP="001F4E85">
      <w:pPr>
        <w:jc w:val="both"/>
        <w:rPr>
          <w:rFonts w:ascii="Arial" w:hAnsi="Arial" w:cs="Arial"/>
          <w:sz w:val="20"/>
          <w:szCs w:val="20"/>
        </w:rPr>
      </w:pPr>
      <w:r w:rsidRPr="006E394E">
        <w:rPr>
          <w:rFonts w:ascii="Arial" w:hAnsi="Arial" w:cs="Arial"/>
          <w:sz w:val="20"/>
          <w:szCs w:val="20"/>
        </w:rPr>
        <w:t>Se deberá informar:</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10. Reporte de la Recaudación:</w:t>
      </w:r>
    </w:p>
    <w:p w:rsidR="001F4E85" w:rsidRPr="006E394E" w:rsidRDefault="001F4E85" w:rsidP="001F4E85">
      <w:pP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r w:rsidRPr="006E394E">
        <w:rPr>
          <w:rFonts w:ascii="Arial" w:hAnsi="Arial" w:cs="Arial"/>
          <w:b/>
          <w:sz w:val="20"/>
          <w:szCs w:val="20"/>
        </w:rPr>
        <w:lastRenderedPageBreak/>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r w:rsidRPr="00BC47E3">
        <w:rPr>
          <w:rFonts w:ascii="Arial" w:hAnsi="Arial" w:cs="Arial"/>
          <w:sz w:val="20"/>
          <w:szCs w:val="20"/>
        </w:rPr>
        <w:t>Reporte de Ingresos Recibidos durante el Ejercicio:</w:t>
      </w:r>
    </w:p>
    <w:p w:rsidR="001F4E85" w:rsidRDefault="001F4E85" w:rsidP="001F4E85">
      <w:pPr>
        <w:pBdr>
          <w:bottom w:val="single" w:sz="12" w:space="0" w:color="auto"/>
        </w:pBdr>
        <w:jc w:val="both"/>
        <w:rPr>
          <w:rFonts w:ascii="Arial" w:hAnsi="Arial" w:cs="Arial"/>
          <w:sz w:val="20"/>
          <w:szCs w:val="20"/>
        </w:rPr>
      </w:pPr>
    </w:p>
    <w:p w:rsidR="0096009B" w:rsidRDefault="00576A8D" w:rsidP="001F4E85">
      <w:pPr>
        <w:pBdr>
          <w:bottom w:val="single" w:sz="12" w:space="0" w:color="auto"/>
        </w:pBdr>
        <w:jc w:val="both"/>
        <w:rPr>
          <w:rFonts w:ascii="Arial" w:hAnsi="Arial" w:cs="Arial"/>
          <w:sz w:val="20"/>
          <w:szCs w:val="20"/>
        </w:rPr>
      </w:pPr>
      <w:r w:rsidRPr="00576A8D">
        <w:rPr>
          <w:noProof/>
        </w:rPr>
        <w:drawing>
          <wp:inline distT="0" distB="0" distL="0" distR="0">
            <wp:extent cx="8690610" cy="3941848"/>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0610" cy="3941848"/>
                    </a:xfrm>
                    <a:prstGeom prst="rect">
                      <a:avLst/>
                    </a:prstGeom>
                    <a:noFill/>
                    <a:ln>
                      <a:noFill/>
                    </a:ln>
                  </pic:spPr>
                </pic:pic>
              </a:graphicData>
            </a:graphic>
          </wp:inline>
        </w:drawing>
      </w:r>
    </w:p>
    <w:p w:rsidR="0096009B" w:rsidRDefault="0096009B"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Proyección de la recaudación e ingresos en el mediano plazo:</w:t>
      </w: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r w:rsidRPr="00BC47E3">
        <w:rPr>
          <w:rFonts w:ascii="Arial" w:hAnsi="Arial" w:cs="Arial"/>
          <w:sz w:val="20"/>
          <w:szCs w:val="20"/>
        </w:rPr>
        <w:t>Reporte de Ingresos por Recaudar en el Ejercicio</w:t>
      </w:r>
    </w:p>
    <w:p w:rsidR="001F4E85" w:rsidRDefault="00576A8D" w:rsidP="001F4E85">
      <w:pPr>
        <w:pBdr>
          <w:bottom w:val="single" w:sz="12" w:space="0" w:color="auto"/>
        </w:pBdr>
        <w:jc w:val="both"/>
        <w:rPr>
          <w:rFonts w:ascii="Arial" w:hAnsi="Arial" w:cs="Arial"/>
          <w:sz w:val="20"/>
          <w:szCs w:val="20"/>
        </w:rPr>
      </w:pPr>
      <w:r w:rsidRPr="00576A8D">
        <w:rPr>
          <w:noProof/>
        </w:rPr>
        <w:drawing>
          <wp:inline distT="0" distB="0" distL="0" distR="0">
            <wp:extent cx="8689365" cy="3480179"/>
            <wp:effectExtent l="0" t="0" r="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3645" cy="3481893"/>
                    </a:xfrm>
                    <a:prstGeom prst="rect">
                      <a:avLst/>
                    </a:prstGeom>
                    <a:noFill/>
                    <a:ln>
                      <a:noFill/>
                    </a:ln>
                  </pic:spPr>
                </pic:pic>
              </a:graphicData>
            </a:graphic>
          </wp:inline>
        </w:drawing>
      </w:r>
    </w:p>
    <w:p w:rsidR="001F4E85" w:rsidRDefault="001F4E85" w:rsidP="001F4E85">
      <w:pPr>
        <w:jc w:val="both"/>
        <w:rPr>
          <w:rFonts w:ascii="Arial" w:hAnsi="Arial" w:cs="Arial"/>
          <w:b/>
          <w:sz w:val="20"/>
          <w:szCs w:val="20"/>
        </w:rPr>
      </w:pP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w:t>
      </w:r>
      <w:r>
        <w:rPr>
          <w:rFonts w:ascii="Arial" w:hAnsi="Arial" w:cs="Arial"/>
          <w:sz w:val="20"/>
          <w:szCs w:val="20"/>
        </w:rPr>
        <w:t>ón tomando, como mínimo, un peri</w:t>
      </w:r>
      <w:r w:rsidRPr="006E394E">
        <w:rPr>
          <w:rFonts w:ascii="Arial" w:hAnsi="Arial" w:cs="Arial"/>
          <w:sz w:val="20"/>
          <w:szCs w:val="20"/>
        </w:rPr>
        <w:t>odo igual o menor a 5 años.</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está facultado para contraer deuda.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1F4E85" w:rsidRDefault="001F4E85" w:rsidP="001F4E85">
      <w:pPr>
        <w:jc w:val="both"/>
        <w:rPr>
          <w:rFonts w:ascii="Arial" w:hAnsi="Arial" w:cs="Arial"/>
          <w:b/>
          <w:sz w:val="20"/>
          <w:szCs w:val="20"/>
        </w:rPr>
      </w:pPr>
    </w:p>
    <w:p w:rsidR="001B2C8B" w:rsidRDefault="001B2C8B" w:rsidP="001F4E85">
      <w:pPr>
        <w:jc w:val="both"/>
        <w:rPr>
          <w:rFonts w:ascii="Arial" w:hAnsi="Arial" w:cs="Arial"/>
          <w:b/>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12. Calificaciones otorgadas:</w:t>
      </w:r>
    </w:p>
    <w:p w:rsidR="001F4E85" w:rsidRPr="006E394E" w:rsidRDefault="001F4E85" w:rsidP="001F4E85">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1F4E85" w:rsidRPr="006E394E" w:rsidRDefault="001F4E85" w:rsidP="001F4E85">
      <w:pPr>
        <w:jc w:val="both"/>
        <w:rPr>
          <w:rFonts w:ascii="Arial" w:hAnsi="Arial" w:cs="Arial"/>
          <w:sz w:val="20"/>
          <w:szCs w:val="20"/>
        </w:rPr>
      </w:pPr>
      <w:r w:rsidRPr="006E394E">
        <w:rPr>
          <w:rFonts w:ascii="Arial" w:hAnsi="Arial" w:cs="Arial"/>
          <w:sz w:val="20"/>
          <w:szCs w:val="20"/>
        </w:rPr>
        <w:lastRenderedPageBreak/>
        <w:t>Todas las operaciones del Instituto están basadas en un presup</w:t>
      </w:r>
      <w:r>
        <w:rPr>
          <w:rFonts w:ascii="Arial" w:hAnsi="Arial" w:cs="Arial"/>
          <w:sz w:val="20"/>
          <w:szCs w:val="20"/>
        </w:rPr>
        <w:t>uesto autorizado ya sea por el Congreso Federal o el C</w:t>
      </w:r>
      <w:r w:rsidRPr="006E394E">
        <w:rPr>
          <w:rFonts w:ascii="Arial" w:hAnsi="Arial" w:cs="Arial"/>
          <w:sz w:val="20"/>
          <w:szCs w:val="20"/>
        </w:rPr>
        <w:t xml:space="preserve">ongreso </w:t>
      </w:r>
      <w:r>
        <w:rPr>
          <w:rFonts w:ascii="Arial" w:hAnsi="Arial" w:cs="Arial"/>
          <w:sz w:val="20"/>
          <w:szCs w:val="20"/>
        </w:rPr>
        <w:t>E</w:t>
      </w:r>
      <w:r w:rsidRPr="006E394E">
        <w:rPr>
          <w:rFonts w:ascii="Arial" w:hAnsi="Arial" w:cs="Arial"/>
          <w:sz w:val="20"/>
          <w:szCs w:val="20"/>
        </w:rPr>
        <w:t>statal.</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13. Proceso de Mejora:</w:t>
      </w:r>
    </w:p>
    <w:p w:rsidR="001F4E85" w:rsidRPr="006E394E" w:rsidRDefault="001F4E85" w:rsidP="001F4E85">
      <w:pPr>
        <w:jc w:val="both"/>
        <w:rPr>
          <w:rFonts w:ascii="Arial" w:hAnsi="Arial" w:cs="Arial"/>
          <w:sz w:val="20"/>
          <w:szCs w:val="20"/>
        </w:rPr>
      </w:pPr>
      <w:r w:rsidRPr="006E394E">
        <w:rPr>
          <w:rFonts w:ascii="Arial" w:hAnsi="Arial" w:cs="Arial"/>
          <w:sz w:val="20"/>
          <w:szCs w:val="20"/>
        </w:rPr>
        <w:t>Se informará de:</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1F4E85" w:rsidRPr="006E394E" w:rsidRDefault="001F4E85" w:rsidP="001F4E85">
      <w:pPr>
        <w:pStyle w:val="Prrafodelista"/>
        <w:numPr>
          <w:ilvl w:val="0"/>
          <w:numId w:val="21"/>
        </w:numPr>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F4E85" w:rsidRPr="006E394E" w:rsidRDefault="001F4E85" w:rsidP="001F4E85">
      <w:pPr>
        <w:pStyle w:val="Prrafodelista"/>
        <w:numPr>
          <w:ilvl w:val="0"/>
          <w:numId w:val="21"/>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1F4E85" w:rsidRPr="006E394E" w:rsidRDefault="001F4E85" w:rsidP="001F4E85">
      <w:pPr>
        <w:pStyle w:val="Prrafodelista"/>
        <w:numPr>
          <w:ilvl w:val="0"/>
          <w:numId w:val="21"/>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1F4E85" w:rsidRPr="006E394E" w:rsidRDefault="001F4E85" w:rsidP="001F4E85">
      <w:pPr>
        <w:pStyle w:val="Prrafodelista"/>
        <w:numPr>
          <w:ilvl w:val="0"/>
          <w:numId w:val="21"/>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F4E85" w:rsidRPr="006E394E" w:rsidRDefault="001F4E85" w:rsidP="001F4E85">
      <w:pPr>
        <w:pStyle w:val="Prrafodelista"/>
        <w:numPr>
          <w:ilvl w:val="0"/>
          <w:numId w:val="21"/>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1F4E85" w:rsidRPr="006E394E" w:rsidRDefault="001F4E85" w:rsidP="001F4E85">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1F4E85" w:rsidRDefault="001F4E85" w:rsidP="001F4E85">
      <w:pPr>
        <w:jc w:val="both"/>
        <w:rPr>
          <w:rFonts w:ascii="Arial" w:hAnsi="Arial" w:cs="Arial"/>
          <w:sz w:val="20"/>
          <w:szCs w:val="20"/>
        </w:rPr>
      </w:pPr>
    </w:p>
    <w:p w:rsidR="001B2C8B" w:rsidRDefault="001B2C8B"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14. Información por Segmentos:</w:t>
      </w:r>
    </w:p>
    <w:p w:rsidR="001F4E85" w:rsidRDefault="001F4E85" w:rsidP="001F4E85">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1F4E85" w:rsidRPr="006E394E" w:rsidRDefault="001F4E85" w:rsidP="001F4E85">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w:t>
      </w:r>
      <w:r>
        <w:rPr>
          <w:rFonts w:ascii="Arial" w:hAnsi="Arial" w:cs="Arial"/>
          <w:sz w:val="20"/>
          <w:szCs w:val="20"/>
        </w:rPr>
        <w:t>P</w:t>
      </w:r>
      <w:r w:rsidRPr="006E394E">
        <w:rPr>
          <w:rFonts w:ascii="Arial" w:hAnsi="Arial" w:cs="Arial"/>
          <w:sz w:val="20"/>
          <w:szCs w:val="20"/>
        </w:rPr>
        <w:t xml:space="preserve">royectos de Inversión, como se muestra en el reporte denominado “PROGRAMAS Y PROYECTOS DE INVERSIÓN” que incluye las unidades responsables, el cual forma parte de los Estados Financieros correspondientes a este periodo. </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15. Eventos Posteriores al Cierre:</w:t>
      </w:r>
    </w:p>
    <w:p w:rsidR="001F4E85" w:rsidRDefault="001F4E85" w:rsidP="001F4E85">
      <w:pPr>
        <w:jc w:val="both"/>
        <w:rPr>
          <w:rFonts w:ascii="Arial" w:hAnsi="Arial" w:cs="Arial"/>
          <w:sz w:val="20"/>
          <w:szCs w:val="20"/>
        </w:rPr>
      </w:pPr>
      <w:r w:rsidRPr="004A3C87">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16. Partes Relacionadas:</w:t>
      </w:r>
    </w:p>
    <w:p w:rsidR="001F4E85" w:rsidRDefault="001F4E85" w:rsidP="001F4E85">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 xml:space="preserve">El Instituto </w:t>
      </w:r>
      <w:r>
        <w:rPr>
          <w:rFonts w:ascii="Arial" w:hAnsi="Arial" w:cs="Arial"/>
          <w:sz w:val="20"/>
          <w:szCs w:val="20"/>
        </w:rPr>
        <w:t xml:space="preserve">no </w:t>
      </w:r>
      <w:r w:rsidRPr="006E394E">
        <w:rPr>
          <w:rFonts w:ascii="Arial" w:hAnsi="Arial" w:cs="Arial"/>
          <w:sz w:val="20"/>
          <w:szCs w:val="20"/>
        </w:rPr>
        <w:t>tiene celebrado convenio</w:t>
      </w:r>
      <w:r>
        <w:rPr>
          <w:rFonts w:ascii="Arial" w:hAnsi="Arial" w:cs="Arial"/>
          <w:sz w:val="20"/>
          <w:szCs w:val="20"/>
        </w:rPr>
        <w:t>s</w:t>
      </w:r>
      <w:r w:rsidRPr="006E394E">
        <w:rPr>
          <w:rFonts w:ascii="Arial" w:hAnsi="Arial" w:cs="Arial"/>
          <w:sz w:val="20"/>
          <w:szCs w:val="20"/>
        </w:rPr>
        <w:t xml:space="preserve"> de colaboración con </w:t>
      </w:r>
      <w:r>
        <w:rPr>
          <w:rFonts w:ascii="Arial" w:hAnsi="Arial" w:cs="Arial"/>
          <w:sz w:val="20"/>
          <w:szCs w:val="20"/>
        </w:rPr>
        <w:t>otra entidad gubernamental o privada.</w:t>
      </w:r>
      <w:r w:rsidRPr="006E394E">
        <w:rPr>
          <w:rFonts w:ascii="Arial" w:hAnsi="Arial" w:cs="Arial"/>
          <w:sz w:val="20"/>
          <w:szCs w:val="20"/>
        </w:rPr>
        <w:t xml:space="preserve"> </w:t>
      </w:r>
    </w:p>
    <w:p w:rsidR="001F4E85" w:rsidRDefault="001F4E85" w:rsidP="001F4E85">
      <w:pPr>
        <w:jc w:val="both"/>
        <w:rPr>
          <w:rFonts w:ascii="Arial" w:hAnsi="Arial" w:cs="Arial"/>
          <w:sz w:val="20"/>
          <w:szCs w:val="20"/>
        </w:rPr>
      </w:pPr>
    </w:p>
    <w:p w:rsidR="001B2C8B" w:rsidRPr="006E394E" w:rsidRDefault="001B2C8B"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1F4E85" w:rsidRDefault="001F4E85" w:rsidP="001F4E85">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A200EA" w:rsidRDefault="00A200EA" w:rsidP="001F4E85">
      <w:pPr>
        <w:jc w:val="both"/>
        <w:rPr>
          <w:rFonts w:ascii="Arial" w:hAnsi="Arial" w:cs="Arial"/>
          <w:sz w:val="20"/>
          <w:szCs w:val="20"/>
        </w:rPr>
      </w:pPr>
    </w:p>
    <w:p w:rsidR="00A200EA" w:rsidRDefault="00A200EA" w:rsidP="001F4E85">
      <w:pPr>
        <w:jc w:val="both"/>
        <w:rPr>
          <w:rFonts w:ascii="Arial" w:hAnsi="Arial" w:cs="Arial"/>
          <w:sz w:val="20"/>
          <w:szCs w:val="20"/>
        </w:rPr>
      </w:pPr>
    </w:p>
    <w:p w:rsidR="001F4E85" w:rsidRPr="00A513A2" w:rsidRDefault="001F4E85" w:rsidP="001F4E85">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r>
        <w:rPr>
          <w:rFonts w:cs="Calibri"/>
          <w:sz w:val="20"/>
          <w:szCs w:val="20"/>
        </w:rPr>
        <w:t>.</w:t>
      </w:r>
    </w:p>
    <w:p w:rsidR="001F4E85" w:rsidRDefault="001F4E85" w:rsidP="001F4E85">
      <w:pPr>
        <w:jc w:val="both"/>
        <w:rPr>
          <w:rFonts w:cs="Calibri"/>
          <w:u w:val="single"/>
        </w:rPr>
      </w:pPr>
    </w:p>
    <w:p w:rsidR="001F4E85" w:rsidRDefault="001F4E85" w:rsidP="001F4E85">
      <w:pPr>
        <w:jc w:val="both"/>
        <w:rPr>
          <w:rFonts w:cs="Calibri"/>
          <w:u w:val="single"/>
        </w:rPr>
      </w:pPr>
    </w:p>
    <w:p w:rsidR="001F4E85" w:rsidRDefault="001F4E85" w:rsidP="001F4E85">
      <w:pPr>
        <w:jc w:val="both"/>
        <w:rPr>
          <w:rFonts w:cs="Calibri"/>
          <w:u w:val="single"/>
        </w:rPr>
      </w:pPr>
    </w:p>
    <w:p w:rsidR="00781168" w:rsidRDefault="00781168" w:rsidP="005F4E85">
      <w:pPr>
        <w:tabs>
          <w:tab w:val="left" w:pos="6804"/>
        </w:tabs>
        <w:jc w:val="center"/>
        <w:rPr>
          <w:rStyle w:val="Hipervnculo"/>
          <w:b/>
          <w:sz w:val="28"/>
          <w:szCs w:val="28"/>
        </w:rPr>
      </w:pPr>
      <w:bookmarkStart w:id="7" w:name="_GoBack"/>
      <w:bookmarkEnd w:id="0"/>
      <w:bookmarkEnd w:id="7"/>
    </w:p>
    <w:p w:rsidR="00781168" w:rsidRDefault="00781168" w:rsidP="005F4E85">
      <w:pPr>
        <w:tabs>
          <w:tab w:val="left" w:pos="6804"/>
        </w:tabs>
        <w:jc w:val="center"/>
        <w:rPr>
          <w:rStyle w:val="Hipervnculo"/>
          <w:b/>
          <w:sz w:val="28"/>
          <w:szCs w:val="28"/>
        </w:rPr>
      </w:pPr>
    </w:p>
    <w:sectPr w:rsidR="00781168" w:rsidSect="00810ACF">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D2E" w:rsidRDefault="00596D2E" w:rsidP="00EA5418">
      <w:r>
        <w:separator/>
      </w:r>
    </w:p>
  </w:endnote>
  <w:endnote w:type="continuationSeparator" w:id="0">
    <w:p w:rsidR="00596D2E" w:rsidRDefault="00596D2E"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B9" w:rsidRPr="001E3B9D" w:rsidRDefault="00CB39B9"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5648"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4E98C7" id="Line 29"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" strokecolor="#4579b8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14</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B9" w:rsidRPr="00584484" w:rsidRDefault="00CB39B9"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3600"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1842B1" id="Line 27"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8GUrh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Pr>
            <w:rFonts w:ascii="Arial" w:hAnsi="Arial" w:cs="Arial"/>
            <w:color w:val="808080" w:themeColor="background1" w:themeShade="80"/>
            <w:sz w:val="20"/>
            <w:szCs w:val="20"/>
          </w:rPr>
          <w:t>Información Financiera</w:t>
        </w:r>
        <w:r w:rsidRPr="00584484">
          <w:rPr>
            <w:rFonts w:ascii="Arial" w:hAnsi="Arial" w:cs="Arial"/>
            <w:color w:val="808080" w:themeColor="background1" w:themeShade="80"/>
            <w:sz w:val="20"/>
            <w:szCs w:val="20"/>
          </w:rPr>
          <w:t xml:space="preserve"> /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13</w:t>
        </w:r>
        <w:r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D2E" w:rsidRDefault="00596D2E" w:rsidP="00EA5418">
      <w:r>
        <w:separator/>
      </w:r>
    </w:p>
  </w:footnote>
  <w:footnote w:type="continuationSeparator" w:id="0">
    <w:p w:rsidR="00596D2E" w:rsidRDefault="00596D2E"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B9" w:rsidRDefault="00CB39B9"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simplePos x="0" y="0"/>
              <wp:positionH relativeFrom="column">
                <wp:posOffset>1941830</wp:posOffset>
              </wp:positionH>
              <wp:positionV relativeFrom="paragraph">
                <wp:posOffset>-265430</wp:posOffset>
              </wp:positionV>
              <wp:extent cx="2767330" cy="427355"/>
              <wp:effectExtent l="0" t="0" r="0" b="0"/>
              <wp:wrapNone/>
              <wp:docPr id="18"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9B9" w:rsidRPr="00584484" w:rsidRDefault="00CB39B9"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CB39B9" w:rsidRPr="00410C0A" w:rsidRDefault="00CB39B9"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CB39B9" w:rsidRPr="00584484" w:rsidRDefault="00CB39B9"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152.9pt;margin-top:-20.9pt;width:217.9pt;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" stroked="f">
              <v:textbox>
                <w:txbxContent>
                  <w:p w:rsidR="00CB39B9" w:rsidRPr="00584484" w:rsidRDefault="00CB39B9"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CB39B9" w:rsidRPr="00410C0A" w:rsidRDefault="00CB39B9"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CB39B9" w:rsidRPr="00584484" w:rsidRDefault="00CB39B9"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simplePos x="0" y="0"/>
              <wp:positionH relativeFrom="column">
                <wp:posOffset>4657725</wp:posOffset>
              </wp:positionH>
              <wp:positionV relativeFrom="paragraph">
                <wp:posOffset>-195580</wp:posOffset>
              </wp:positionV>
              <wp:extent cx="838835" cy="328930"/>
              <wp:effectExtent l="0" t="0" r="0" b="0"/>
              <wp:wrapNone/>
              <wp:docPr id="1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9B9" w:rsidRPr="00E9097D" w:rsidRDefault="00CB39B9"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" stroked="f">
              <v:textbox>
                <w:txbxContent>
                  <w:p w:rsidR="00CB39B9" w:rsidRPr="00E9097D" w:rsidRDefault="00CB39B9"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2023</w:t>
                    </w:r>
                  </w:p>
                </w:txbxContent>
              </v:textbox>
            </v:shape>
          </w:pict>
        </mc:Fallback>
      </mc:AlternateContent>
    </w:r>
    <w:r>
      <w:rPr>
        <w:rFonts w:ascii="Soberana Sans Light" w:hAnsi="Soberana Sans Light"/>
        <w:noProof/>
        <w:lang w:val="es-MX" w:eastAsia="es-MX"/>
      </w:rPr>
      <mc:AlternateContent>
        <mc:Choice Requires="wps">
          <w:drawing>
            <wp:anchor distT="4294967295" distB="4294967295" distL="114300" distR="114300" simplePos="0" relativeHeight="251663360" behindDoc="0" locked="0" layoutInCell="1" allowOverlap="1">
              <wp:simplePos x="0" y="0"/>
              <wp:positionH relativeFrom="column">
                <wp:posOffset>-676275</wp:posOffset>
              </wp:positionH>
              <wp:positionV relativeFrom="paragraph">
                <wp:posOffset>210819</wp:posOffset>
              </wp:positionV>
              <wp:extent cx="10029825" cy="0"/>
              <wp:effectExtent l="0" t="0" r="0" b="0"/>
              <wp:wrapNone/>
              <wp:docPr id="1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9C3489" id="4 Conector recto"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fIg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D9GcB8iAgAAPw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B9" w:rsidRPr="007D16CA" w:rsidRDefault="00CB39B9"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4294967295" distB="4294967295" distL="114300" distR="114300" simplePos="0" relativeHeight="251674624" behindDoc="0" locked="0" layoutInCell="1" allowOverlap="1">
              <wp:simplePos x="0" y="0"/>
              <wp:positionH relativeFrom="column">
                <wp:posOffset>-683895</wp:posOffset>
              </wp:positionH>
              <wp:positionV relativeFrom="paragraph">
                <wp:posOffset>213359</wp:posOffset>
              </wp:positionV>
              <wp:extent cx="10065385" cy="0"/>
              <wp:effectExtent l="0" t="0" r="0" b="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0B3596" id="Line 28"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IJ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Z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DP5WIJMwIAAHAEAAAOAAAAAAAAAAAAAAAA&#10;AC4CAABkcnMvZTJvRG9jLnhtbFBLAQItABQABgAIAAAAIQC5xaVd3wAAAAsBAAAPAAAAAAAAAAAA&#10;AAAAAI0EAABkcnMvZG93bnJldi54bWxQSwUGAAAAAAQABADzAAAAmQUAAAAA&#10;" strokecolor="#4579b8 [3044]" strokeweight="1.5pt"/>
          </w:pict>
        </mc:Fallback>
      </mc:AlternateContent>
    </w:r>
    <w:r>
      <w:rPr>
        <w:rFonts w:ascii="Arial" w:hAnsi="Arial" w:cs="Arial"/>
        <w:color w:val="808080" w:themeColor="background1" w:themeShade="80"/>
        <w:sz w:val="20"/>
        <w:szCs w:val="20"/>
      </w:rPr>
      <w:t>INSTITUTO DE SALUD PÚBLICA DEL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0"/>
  </w:num>
  <w:num w:numId="9">
    <w:abstractNumId w:val="5"/>
  </w:num>
  <w:num w:numId="10">
    <w:abstractNumId w:val="13"/>
  </w:num>
  <w:num w:numId="11">
    <w:abstractNumId w:val="15"/>
  </w:num>
  <w:num w:numId="12">
    <w:abstractNumId w:val="19"/>
  </w:num>
  <w:num w:numId="13">
    <w:abstractNumId w:val="16"/>
  </w:num>
  <w:num w:numId="14">
    <w:abstractNumId w:val="3"/>
  </w:num>
  <w:num w:numId="15">
    <w:abstractNumId w:val="14"/>
  </w:num>
  <w:num w:numId="16">
    <w:abstractNumId w:val="2"/>
  </w:num>
  <w:num w:numId="17">
    <w:abstractNumId w:val="20"/>
  </w:num>
  <w:num w:numId="18">
    <w:abstractNumId w:val="9"/>
  </w:num>
  <w:num w:numId="19">
    <w:abstractNumId w:val="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3241"/>
    <w:rsid w:val="000164DB"/>
    <w:rsid w:val="00026D17"/>
    <w:rsid w:val="00030434"/>
    <w:rsid w:val="00031801"/>
    <w:rsid w:val="000355E9"/>
    <w:rsid w:val="00037FE0"/>
    <w:rsid w:val="00040466"/>
    <w:rsid w:val="0004218E"/>
    <w:rsid w:val="00045203"/>
    <w:rsid w:val="0005062F"/>
    <w:rsid w:val="00051ECA"/>
    <w:rsid w:val="00054908"/>
    <w:rsid w:val="00056042"/>
    <w:rsid w:val="00061A86"/>
    <w:rsid w:val="00062DBE"/>
    <w:rsid w:val="0006667D"/>
    <w:rsid w:val="00070FD9"/>
    <w:rsid w:val="000733A4"/>
    <w:rsid w:val="00094277"/>
    <w:rsid w:val="000963D2"/>
    <w:rsid w:val="00096A20"/>
    <w:rsid w:val="00097AB0"/>
    <w:rsid w:val="000A4BED"/>
    <w:rsid w:val="000A5070"/>
    <w:rsid w:val="000A6167"/>
    <w:rsid w:val="000A669D"/>
    <w:rsid w:val="000B3C7C"/>
    <w:rsid w:val="000B489A"/>
    <w:rsid w:val="000C2B2E"/>
    <w:rsid w:val="000C4654"/>
    <w:rsid w:val="000C75BE"/>
    <w:rsid w:val="000D5FBB"/>
    <w:rsid w:val="000E1199"/>
    <w:rsid w:val="000E1254"/>
    <w:rsid w:val="000E5608"/>
    <w:rsid w:val="000F22A6"/>
    <w:rsid w:val="000F5D09"/>
    <w:rsid w:val="000F7962"/>
    <w:rsid w:val="0010245D"/>
    <w:rsid w:val="00106804"/>
    <w:rsid w:val="00107A57"/>
    <w:rsid w:val="00110152"/>
    <w:rsid w:val="001136C9"/>
    <w:rsid w:val="00114238"/>
    <w:rsid w:val="00114DE7"/>
    <w:rsid w:val="001203CB"/>
    <w:rsid w:val="00120FC0"/>
    <w:rsid w:val="0012194C"/>
    <w:rsid w:val="00121C91"/>
    <w:rsid w:val="001232D2"/>
    <w:rsid w:val="00125A9B"/>
    <w:rsid w:val="00126634"/>
    <w:rsid w:val="0013011C"/>
    <w:rsid w:val="00136010"/>
    <w:rsid w:val="00137B35"/>
    <w:rsid w:val="001423F1"/>
    <w:rsid w:val="001439FE"/>
    <w:rsid w:val="00145121"/>
    <w:rsid w:val="00153A59"/>
    <w:rsid w:val="0015606C"/>
    <w:rsid w:val="00156F61"/>
    <w:rsid w:val="00161F91"/>
    <w:rsid w:val="001636DD"/>
    <w:rsid w:val="001646D9"/>
    <w:rsid w:val="00165757"/>
    <w:rsid w:val="00165BF7"/>
    <w:rsid w:val="001721E7"/>
    <w:rsid w:val="00174A37"/>
    <w:rsid w:val="00175D57"/>
    <w:rsid w:val="00177FBB"/>
    <w:rsid w:val="001814E1"/>
    <w:rsid w:val="00184B82"/>
    <w:rsid w:val="001853A4"/>
    <w:rsid w:val="00186AB0"/>
    <w:rsid w:val="001908EA"/>
    <w:rsid w:val="001A05C7"/>
    <w:rsid w:val="001A6FC3"/>
    <w:rsid w:val="001B0D37"/>
    <w:rsid w:val="001B0EA9"/>
    <w:rsid w:val="001B0EC5"/>
    <w:rsid w:val="001B1B72"/>
    <w:rsid w:val="001B262F"/>
    <w:rsid w:val="001B2C8B"/>
    <w:rsid w:val="001B71C9"/>
    <w:rsid w:val="001B7806"/>
    <w:rsid w:val="001C0F11"/>
    <w:rsid w:val="001C169C"/>
    <w:rsid w:val="001C5386"/>
    <w:rsid w:val="001D0B43"/>
    <w:rsid w:val="001D36FA"/>
    <w:rsid w:val="001D77CF"/>
    <w:rsid w:val="001E00C6"/>
    <w:rsid w:val="001E0675"/>
    <w:rsid w:val="001E3B9D"/>
    <w:rsid w:val="001E7F9E"/>
    <w:rsid w:val="001F4E85"/>
    <w:rsid w:val="001F620C"/>
    <w:rsid w:val="002011AB"/>
    <w:rsid w:val="00201611"/>
    <w:rsid w:val="002043BD"/>
    <w:rsid w:val="0020643A"/>
    <w:rsid w:val="002073FD"/>
    <w:rsid w:val="00215CC6"/>
    <w:rsid w:val="002177CB"/>
    <w:rsid w:val="00217EA0"/>
    <w:rsid w:val="0022323F"/>
    <w:rsid w:val="00227E0F"/>
    <w:rsid w:val="0023088A"/>
    <w:rsid w:val="0023773C"/>
    <w:rsid w:val="00245B10"/>
    <w:rsid w:val="00246794"/>
    <w:rsid w:val="002530B9"/>
    <w:rsid w:val="0025714C"/>
    <w:rsid w:val="0026216E"/>
    <w:rsid w:val="00262E4D"/>
    <w:rsid w:val="0026420C"/>
    <w:rsid w:val="0026488C"/>
    <w:rsid w:val="00266491"/>
    <w:rsid w:val="00266DB0"/>
    <w:rsid w:val="00273859"/>
    <w:rsid w:val="00276B88"/>
    <w:rsid w:val="00284168"/>
    <w:rsid w:val="002864BC"/>
    <w:rsid w:val="0028780C"/>
    <w:rsid w:val="002906E8"/>
    <w:rsid w:val="00293A60"/>
    <w:rsid w:val="002A70B3"/>
    <w:rsid w:val="002B69D8"/>
    <w:rsid w:val="002B6BA9"/>
    <w:rsid w:val="002D2737"/>
    <w:rsid w:val="002D7B66"/>
    <w:rsid w:val="002E038A"/>
    <w:rsid w:val="002E3600"/>
    <w:rsid w:val="002E7A4E"/>
    <w:rsid w:val="002F29EE"/>
    <w:rsid w:val="00300A8C"/>
    <w:rsid w:val="00307635"/>
    <w:rsid w:val="003079BC"/>
    <w:rsid w:val="00313583"/>
    <w:rsid w:val="0031392B"/>
    <w:rsid w:val="00313B32"/>
    <w:rsid w:val="0032547C"/>
    <w:rsid w:val="0032782B"/>
    <w:rsid w:val="0033464B"/>
    <w:rsid w:val="003364E9"/>
    <w:rsid w:val="003502F3"/>
    <w:rsid w:val="00355821"/>
    <w:rsid w:val="003610E0"/>
    <w:rsid w:val="003702C1"/>
    <w:rsid w:val="00370B66"/>
    <w:rsid w:val="00372F40"/>
    <w:rsid w:val="00375A8C"/>
    <w:rsid w:val="00381099"/>
    <w:rsid w:val="003820CA"/>
    <w:rsid w:val="00394920"/>
    <w:rsid w:val="00397D4C"/>
    <w:rsid w:val="003A0365"/>
    <w:rsid w:val="003A0375"/>
    <w:rsid w:val="003A0EE2"/>
    <w:rsid w:val="003A1276"/>
    <w:rsid w:val="003A5CD4"/>
    <w:rsid w:val="003B1B6E"/>
    <w:rsid w:val="003C0908"/>
    <w:rsid w:val="003D0FBA"/>
    <w:rsid w:val="003D5DBF"/>
    <w:rsid w:val="003E7FD0"/>
    <w:rsid w:val="003F0392"/>
    <w:rsid w:val="0040568C"/>
    <w:rsid w:val="004062F0"/>
    <w:rsid w:val="00410AF3"/>
    <w:rsid w:val="00410C0A"/>
    <w:rsid w:val="0041268A"/>
    <w:rsid w:val="00412705"/>
    <w:rsid w:val="00412EB1"/>
    <w:rsid w:val="00414245"/>
    <w:rsid w:val="00417817"/>
    <w:rsid w:val="00426E16"/>
    <w:rsid w:val="0044253C"/>
    <w:rsid w:val="004427A8"/>
    <w:rsid w:val="00442BD3"/>
    <w:rsid w:val="004437A5"/>
    <w:rsid w:val="00444A3D"/>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A49A1"/>
    <w:rsid w:val="004B01D6"/>
    <w:rsid w:val="004B041D"/>
    <w:rsid w:val="004B284E"/>
    <w:rsid w:val="004B3322"/>
    <w:rsid w:val="004B5E75"/>
    <w:rsid w:val="004B6537"/>
    <w:rsid w:val="004D41B8"/>
    <w:rsid w:val="004D4F5D"/>
    <w:rsid w:val="004D72DD"/>
    <w:rsid w:val="004E2E00"/>
    <w:rsid w:val="004F09C0"/>
    <w:rsid w:val="004F29CC"/>
    <w:rsid w:val="004F50D8"/>
    <w:rsid w:val="004F6955"/>
    <w:rsid w:val="00502D8E"/>
    <w:rsid w:val="005033CB"/>
    <w:rsid w:val="00506351"/>
    <w:rsid w:val="00511628"/>
    <w:rsid w:val="005117F4"/>
    <w:rsid w:val="00514DB1"/>
    <w:rsid w:val="00516D35"/>
    <w:rsid w:val="00522632"/>
    <w:rsid w:val="00524746"/>
    <w:rsid w:val="00524CF6"/>
    <w:rsid w:val="00531310"/>
    <w:rsid w:val="00534982"/>
    <w:rsid w:val="00540418"/>
    <w:rsid w:val="005640C6"/>
    <w:rsid w:val="00565128"/>
    <w:rsid w:val="00565BC3"/>
    <w:rsid w:val="00567E46"/>
    <w:rsid w:val="005706D9"/>
    <w:rsid w:val="00572656"/>
    <w:rsid w:val="00572976"/>
    <w:rsid w:val="00575404"/>
    <w:rsid w:val="00576A8D"/>
    <w:rsid w:val="00582405"/>
    <w:rsid w:val="00584484"/>
    <w:rsid w:val="005855FA"/>
    <w:rsid w:val="005859FA"/>
    <w:rsid w:val="00595CAD"/>
    <w:rsid w:val="00596CFC"/>
    <w:rsid w:val="00596D2E"/>
    <w:rsid w:val="005A2589"/>
    <w:rsid w:val="005A371E"/>
    <w:rsid w:val="005B1D10"/>
    <w:rsid w:val="005B6522"/>
    <w:rsid w:val="005C74A9"/>
    <w:rsid w:val="005D2601"/>
    <w:rsid w:val="005D63B6"/>
    <w:rsid w:val="005E43F4"/>
    <w:rsid w:val="005E6214"/>
    <w:rsid w:val="005F38CB"/>
    <w:rsid w:val="005F4E85"/>
    <w:rsid w:val="00601287"/>
    <w:rsid w:val="006046CA"/>
    <w:rsid w:val="006048D2"/>
    <w:rsid w:val="006103AC"/>
    <w:rsid w:val="00611E39"/>
    <w:rsid w:val="006133D2"/>
    <w:rsid w:val="006147C2"/>
    <w:rsid w:val="00620E8D"/>
    <w:rsid w:val="00624AF0"/>
    <w:rsid w:val="00633237"/>
    <w:rsid w:val="00636BC8"/>
    <w:rsid w:val="006371E0"/>
    <w:rsid w:val="006407C6"/>
    <w:rsid w:val="00640E11"/>
    <w:rsid w:val="00641410"/>
    <w:rsid w:val="006429CD"/>
    <w:rsid w:val="00643630"/>
    <w:rsid w:val="006453C1"/>
    <w:rsid w:val="0065283C"/>
    <w:rsid w:val="0065490B"/>
    <w:rsid w:val="00656FD3"/>
    <w:rsid w:val="00660F7F"/>
    <w:rsid w:val="00661772"/>
    <w:rsid w:val="00662E1A"/>
    <w:rsid w:val="00664EA2"/>
    <w:rsid w:val="00665222"/>
    <w:rsid w:val="006668AF"/>
    <w:rsid w:val="00676D1E"/>
    <w:rsid w:val="006817A5"/>
    <w:rsid w:val="00682DA8"/>
    <w:rsid w:val="006830CB"/>
    <w:rsid w:val="00684AF3"/>
    <w:rsid w:val="00686BEB"/>
    <w:rsid w:val="006A0B2C"/>
    <w:rsid w:val="006A605D"/>
    <w:rsid w:val="006B023A"/>
    <w:rsid w:val="006B16E7"/>
    <w:rsid w:val="006B48FF"/>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303FB"/>
    <w:rsid w:val="00731263"/>
    <w:rsid w:val="00732C21"/>
    <w:rsid w:val="00735303"/>
    <w:rsid w:val="00735C8C"/>
    <w:rsid w:val="00737CE6"/>
    <w:rsid w:val="00740458"/>
    <w:rsid w:val="007415E8"/>
    <w:rsid w:val="0074343E"/>
    <w:rsid w:val="007626C3"/>
    <w:rsid w:val="007716F2"/>
    <w:rsid w:val="00772D11"/>
    <w:rsid w:val="00776082"/>
    <w:rsid w:val="00781168"/>
    <w:rsid w:val="007811CB"/>
    <w:rsid w:val="00781278"/>
    <w:rsid w:val="0078139D"/>
    <w:rsid w:val="00786975"/>
    <w:rsid w:val="007935F9"/>
    <w:rsid w:val="00793DC3"/>
    <w:rsid w:val="00794F06"/>
    <w:rsid w:val="0079582C"/>
    <w:rsid w:val="007A2E66"/>
    <w:rsid w:val="007A4AC0"/>
    <w:rsid w:val="007A5C35"/>
    <w:rsid w:val="007B16ED"/>
    <w:rsid w:val="007B1A84"/>
    <w:rsid w:val="007B4655"/>
    <w:rsid w:val="007B47A8"/>
    <w:rsid w:val="007C33A9"/>
    <w:rsid w:val="007C4734"/>
    <w:rsid w:val="007C5FB3"/>
    <w:rsid w:val="007C7CE3"/>
    <w:rsid w:val="007D16CA"/>
    <w:rsid w:val="007D31BE"/>
    <w:rsid w:val="007D6E9A"/>
    <w:rsid w:val="007E1AFA"/>
    <w:rsid w:val="007E7DC3"/>
    <w:rsid w:val="007F06CA"/>
    <w:rsid w:val="007F2850"/>
    <w:rsid w:val="007F5B63"/>
    <w:rsid w:val="00802567"/>
    <w:rsid w:val="00803F8D"/>
    <w:rsid w:val="008043DB"/>
    <w:rsid w:val="008053A2"/>
    <w:rsid w:val="0080591B"/>
    <w:rsid w:val="00810ACF"/>
    <w:rsid w:val="00810CE1"/>
    <w:rsid w:val="00811857"/>
    <w:rsid w:val="00811906"/>
    <w:rsid w:val="00813C52"/>
    <w:rsid w:val="00816BF6"/>
    <w:rsid w:val="0083507C"/>
    <w:rsid w:val="00842599"/>
    <w:rsid w:val="00843840"/>
    <w:rsid w:val="008637C1"/>
    <w:rsid w:val="00866DC7"/>
    <w:rsid w:val="00881751"/>
    <w:rsid w:val="008859A1"/>
    <w:rsid w:val="0088715C"/>
    <w:rsid w:val="008913A9"/>
    <w:rsid w:val="00893945"/>
    <w:rsid w:val="008976A3"/>
    <w:rsid w:val="008A6E4D"/>
    <w:rsid w:val="008B0017"/>
    <w:rsid w:val="008B6109"/>
    <w:rsid w:val="008C52CC"/>
    <w:rsid w:val="008D4272"/>
    <w:rsid w:val="008E3652"/>
    <w:rsid w:val="008E38D7"/>
    <w:rsid w:val="008F2BC9"/>
    <w:rsid w:val="008F471B"/>
    <w:rsid w:val="00900209"/>
    <w:rsid w:val="009042FD"/>
    <w:rsid w:val="00905558"/>
    <w:rsid w:val="009133A2"/>
    <w:rsid w:val="0091347A"/>
    <w:rsid w:val="009206EA"/>
    <w:rsid w:val="0093047D"/>
    <w:rsid w:val="00932E78"/>
    <w:rsid w:val="009337B6"/>
    <w:rsid w:val="009478B4"/>
    <w:rsid w:val="00956F64"/>
    <w:rsid w:val="0096009B"/>
    <w:rsid w:val="00963099"/>
    <w:rsid w:val="0096474B"/>
    <w:rsid w:val="00970701"/>
    <w:rsid w:val="00975ADC"/>
    <w:rsid w:val="00976279"/>
    <w:rsid w:val="00976B3A"/>
    <w:rsid w:val="00980ECB"/>
    <w:rsid w:val="00982A1D"/>
    <w:rsid w:val="00985404"/>
    <w:rsid w:val="00987EAF"/>
    <w:rsid w:val="0099048E"/>
    <w:rsid w:val="009909AB"/>
    <w:rsid w:val="00994457"/>
    <w:rsid w:val="009A0695"/>
    <w:rsid w:val="009A1108"/>
    <w:rsid w:val="009B3C74"/>
    <w:rsid w:val="009C1CD1"/>
    <w:rsid w:val="009C47DB"/>
    <w:rsid w:val="009C54BF"/>
    <w:rsid w:val="009C721E"/>
    <w:rsid w:val="009C7BB0"/>
    <w:rsid w:val="009E0CC3"/>
    <w:rsid w:val="009E60D5"/>
    <w:rsid w:val="009F1266"/>
    <w:rsid w:val="009F4C41"/>
    <w:rsid w:val="00A04974"/>
    <w:rsid w:val="00A0752F"/>
    <w:rsid w:val="00A10E8A"/>
    <w:rsid w:val="00A14B74"/>
    <w:rsid w:val="00A16E67"/>
    <w:rsid w:val="00A200EA"/>
    <w:rsid w:val="00A24B5C"/>
    <w:rsid w:val="00A25A64"/>
    <w:rsid w:val="00A274CF"/>
    <w:rsid w:val="00A30168"/>
    <w:rsid w:val="00A31BF9"/>
    <w:rsid w:val="00A51FB6"/>
    <w:rsid w:val="00A52E01"/>
    <w:rsid w:val="00A62685"/>
    <w:rsid w:val="00A670FB"/>
    <w:rsid w:val="00A711D8"/>
    <w:rsid w:val="00A770CC"/>
    <w:rsid w:val="00A81B34"/>
    <w:rsid w:val="00A83BD1"/>
    <w:rsid w:val="00A85ECC"/>
    <w:rsid w:val="00A911BD"/>
    <w:rsid w:val="00A9198F"/>
    <w:rsid w:val="00A924F4"/>
    <w:rsid w:val="00A92BF9"/>
    <w:rsid w:val="00AA4756"/>
    <w:rsid w:val="00AA5F6B"/>
    <w:rsid w:val="00AB13B7"/>
    <w:rsid w:val="00AB1994"/>
    <w:rsid w:val="00AB3344"/>
    <w:rsid w:val="00AB6104"/>
    <w:rsid w:val="00AB6C5C"/>
    <w:rsid w:val="00AB7D6A"/>
    <w:rsid w:val="00AC2BEB"/>
    <w:rsid w:val="00AC47CB"/>
    <w:rsid w:val="00AC5103"/>
    <w:rsid w:val="00AC6BC3"/>
    <w:rsid w:val="00AC7206"/>
    <w:rsid w:val="00AD02DB"/>
    <w:rsid w:val="00AD0E70"/>
    <w:rsid w:val="00AD1576"/>
    <w:rsid w:val="00AD28ED"/>
    <w:rsid w:val="00AD42C4"/>
    <w:rsid w:val="00AD4901"/>
    <w:rsid w:val="00AD7E1C"/>
    <w:rsid w:val="00AE0300"/>
    <w:rsid w:val="00AE0C4F"/>
    <w:rsid w:val="00AE12A3"/>
    <w:rsid w:val="00AE4943"/>
    <w:rsid w:val="00AE5EA4"/>
    <w:rsid w:val="00AE73BC"/>
    <w:rsid w:val="00AE74C5"/>
    <w:rsid w:val="00AF253A"/>
    <w:rsid w:val="00AF2C80"/>
    <w:rsid w:val="00AF589F"/>
    <w:rsid w:val="00B07C17"/>
    <w:rsid w:val="00B16297"/>
    <w:rsid w:val="00B17423"/>
    <w:rsid w:val="00B21FCF"/>
    <w:rsid w:val="00B22D32"/>
    <w:rsid w:val="00B277C2"/>
    <w:rsid w:val="00B326B0"/>
    <w:rsid w:val="00B35A7E"/>
    <w:rsid w:val="00B400BD"/>
    <w:rsid w:val="00B42A02"/>
    <w:rsid w:val="00B42BF0"/>
    <w:rsid w:val="00B45913"/>
    <w:rsid w:val="00B50F96"/>
    <w:rsid w:val="00B5759C"/>
    <w:rsid w:val="00B61B23"/>
    <w:rsid w:val="00B626D7"/>
    <w:rsid w:val="00B6285F"/>
    <w:rsid w:val="00B62897"/>
    <w:rsid w:val="00B65FA7"/>
    <w:rsid w:val="00B72E45"/>
    <w:rsid w:val="00B76771"/>
    <w:rsid w:val="00B849EE"/>
    <w:rsid w:val="00B902CF"/>
    <w:rsid w:val="00B93254"/>
    <w:rsid w:val="00B97D6F"/>
    <w:rsid w:val="00BA5834"/>
    <w:rsid w:val="00BA602C"/>
    <w:rsid w:val="00BB3039"/>
    <w:rsid w:val="00BB6926"/>
    <w:rsid w:val="00BB6BB8"/>
    <w:rsid w:val="00BB7F97"/>
    <w:rsid w:val="00BC11BA"/>
    <w:rsid w:val="00BC16AF"/>
    <w:rsid w:val="00BC5E8F"/>
    <w:rsid w:val="00BD1C57"/>
    <w:rsid w:val="00BD5C94"/>
    <w:rsid w:val="00BE4B00"/>
    <w:rsid w:val="00BF5C7D"/>
    <w:rsid w:val="00BF7CA4"/>
    <w:rsid w:val="00C12269"/>
    <w:rsid w:val="00C1375F"/>
    <w:rsid w:val="00C15B56"/>
    <w:rsid w:val="00C20B56"/>
    <w:rsid w:val="00C2252C"/>
    <w:rsid w:val="00C2262F"/>
    <w:rsid w:val="00C22F80"/>
    <w:rsid w:val="00C269AE"/>
    <w:rsid w:val="00C31117"/>
    <w:rsid w:val="00C32634"/>
    <w:rsid w:val="00C32905"/>
    <w:rsid w:val="00C32B96"/>
    <w:rsid w:val="00C41566"/>
    <w:rsid w:val="00C44F01"/>
    <w:rsid w:val="00C55772"/>
    <w:rsid w:val="00C558A9"/>
    <w:rsid w:val="00C56A30"/>
    <w:rsid w:val="00C57B0A"/>
    <w:rsid w:val="00C6332B"/>
    <w:rsid w:val="00C63AE7"/>
    <w:rsid w:val="00C65D40"/>
    <w:rsid w:val="00C662F3"/>
    <w:rsid w:val="00C73ED8"/>
    <w:rsid w:val="00C80A56"/>
    <w:rsid w:val="00C83205"/>
    <w:rsid w:val="00C83BE6"/>
    <w:rsid w:val="00C929C8"/>
    <w:rsid w:val="00C9309B"/>
    <w:rsid w:val="00C95417"/>
    <w:rsid w:val="00CA299D"/>
    <w:rsid w:val="00CA2D37"/>
    <w:rsid w:val="00CA5468"/>
    <w:rsid w:val="00CB1CEC"/>
    <w:rsid w:val="00CB39B9"/>
    <w:rsid w:val="00CB4256"/>
    <w:rsid w:val="00CB4450"/>
    <w:rsid w:val="00CC02BC"/>
    <w:rsid w:val="00CC08B3"/>
    <w:rsid w:val="00CC2455"/>
    <w:rsid w:val="00CC27D9"/>
    <w:rsid w:val="00CC5CB6"/>
    <w:rsid w:val="00CD7442"/>
    <w:rsid w:val="00CE06A5"/>
    <w:rsid w:val="00CE3A44"/>
    <w:rsid w:val="00CE3AC7"/>
    <w:rsid w:val="00CF344F"/>
    <w:rsid w:val="00D03720"/>
    <w:rsid w:val="00D04581"/>
    <w:rsid w:val="00D0510A"/>
    <w:rsid w:val="00D055EC"/>
    <w:rsid w:val="00D06784"/>
    <w:rsid w:val="00D0711A"/>
    <w:rsid w:val="00D13436"/>
    <w:rsid w:val="00D136C5"/>
    <w:rsid w:val="00D154BE"/>
    <w:rsid w:val="00D1770E"/>
    <w:rsid w:val="00D22757"/>
    <w:rsid w:val="00D240AD"/>
    <w:rsid w:val="00D25D34"/>
    <w:rsid w:val="00D325BD"/>
    <w:rsid w:val="00D325ED"/>
    <w:rsid w:val="00D404ED"/>
    <w:rsid w:val="00D460A3"/>
    <w:rsid w:val="00D4624A"/>
    <w:rsid w:val="00D46E2F"/>
    <w:rsid w:val="00D50A99"/>
    <w:rsid w:val="00D51261"/>
    <w:rsid w:val="00D54C5B"/>
    <w:rsid w:val="00D626D4"/>
    <w:rsid w:val="00D71401"/>
    <w:rsid w:val="00D748D3"/>
    <w:rsid w:val="00D752A7"/>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10430"/>
    <w:rsid w:val="00E1150D"/>
    <w:rsid w:val="00E11D83"/>
    <w:rsid w:val="00E136C7"/>
    <w:rsid w:val="00E13FEA"/>
    <w:rsid w:val="00E15B6E"/>
    <w:rsid w:val="00E24C87"/>
    <w:rsid w:val="00E309F3"/>
    <w:rsid w:val="00E32708"/>
    <w:rsid w:val="00E3623C"/>
    <w:rsid w:val="00E37828"/>
    <w:rsid w:val="00E42847"/>
    <w:rsid w:val="00E45EA9"/>
    <w:rsid w:val="00E622A9"/>
    <w:rsid w:val="00E64A6D"/>
    <w:rsid w:val="00E66834"/>
    <w:rsid w:val="00E74945"/>
    <w:rsid w:val="00E87BBE"/>
    <w:rsid w:val="00E9097D"/>
    <w:rsid w:val="00EA1039"/>
    <w:rsid w:val="00EA16C6"/>
    <w:rsid w:val="00EA3C5D"/>
    <w:rsid w:val="00EA5418"/>
    <w:rsid w:val="00EB0CAB"/>
    <w:rsid w:val="00EB1F1F"/>
    <w:rsid w:val="00EC185F"/>
    <w:rsid w:val="00EC4315"/>
    <w:rsid w:val="00EC561A"/>
    <w:rsid w:val="00EC581E"/>
    <w:rsid w:val="00ED08C8"/>
    <w:rsid w:val="00ED7A80"/>
    <w:rsid w:val="00ED7B94"/>
    <w:rsid w:val="00EE10DE"/>
    <w:rsid w:val="00EE14F0"/>
    <w:rsid w:val="00EE1674"/>
    <w:rsid w:val="00EE393F"/>
    <w:rsid w:val="00F00B08"/>
    <w:rsid w:val="00F04A31"/>
    <w:rsid w:val="00F04AA3"/>
    <w:rsid w:val="00F076A3"/>
    <w:rsid w:val="00F077A8"/>
    <w:rsid w:val="00F07FAF"/>
    <w:rsid w:val="00F17883"/>
    <w:rsid w:val="00F22101"/>
    <w:rsid w:val="00F2569F"/>
    <w:rsid w:val="00F345F1"/>
    <w:rsid w:val="00F37607"/>
    <w:rsid w:val="00F428F5"/>
    <w:rsid w:val="00F545E2"/>
    <w:rsid w:val="00F57E19"/>
    <w:rsid w:val="00F65B80"/>
    <w:rsid w:val="00F664E4"/>
    <w:rsid w:val="00F735CC"/>
    <w:rsid w:val="00F743A5"/>
    <w:rsid w:val="00F75E8F"/>
    <w:rsid w:val="00F843F2"/>
    <w:rsid w:val="00F9018A"/>
    <w:rsid w:val="00F92B59"/>
    <w:rsid w:val="00F94A6A"/>
    <w:rsid w:val="00F96944"/>
    <w:rsid w:val="00FA191C"/>
    <w:rsid w:val="00FA5F75"/>
    <w:rsid w:val="00FB63B3"/>
    <w:rsid w:val="00FB776C"/>
    <w:rsid w:val="00FC2D71"/>
    <w:rsid w:val="00FC30C2"/>
    <w:rsid w:val="00FC38BC"/>
    <w:rsid w:val="00FC43EB"/>
    <w:rsid w:val="00FC4656"/>
    <w:rsid w:val="00FD1A27"/>
    <w:rsid w:val="00FD63EF"/>
    <w:rsid w:val="00FD73DF"/>
    <w:rsid w:val="00FD741E"/>
    <w:rsid w:val="00FE3BF4"/>
    <w:rsid w:val="00FE4B20"/>
    <w:rsid w:val="00FE671F"/>
    <w:rsid w:val="00FF1EF6"/>
    <w:rsid w:val="00FF30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5C04CC-338E-4915-B7EF-982D320C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character" w:styleId="Hipervnculo">
    <w:name w:val="Hyperlink"/>
    <w:basedOn w:val="Fuentedeprrafopredeter"/>
    <w:uiPriority w:val="99"/>
    <w:unhideWhenUsed/>
    <w:rsid w:val="00110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5273408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50839353">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60679914">
      <w:bodyDiv w:val="1"/>
      <w:marLeft w:val="0"/>
      <w:marRight w:val="0"/>
      <w:marTop w:val="0"/>
      <w:marBottom w:val="0"/>
      <w:divBdr>
        <w:top w:val="none" w:sz="0" w:space="0" w:color="auto"/>
        <w:left w:val="none" w:sz="0" w:space="0" w:color="auto"/>
        <w:bottom w:val="none" w:sz="0" w:space="0" w:color="auto"/>
        <w:right w:val="none" w:sz="0" w:space="0" w:color="auto"/>
      </w:divBdr>
    </w:div>
    <w:div w:id="772434612">
      <w:bodyDiv w:val="1"/>
      <w:marLeft w:val="0"/>
      <w:marRight w:val="0"/>
      <w:marTop w:val="0"/>
      <w:marBottom w:val="0"/>
      <w:divBdr>
        <w:top w:val="none" w:sz="0" w:space="0" w:color="auto"/>
        <w:left w:val="none" w:sz="0" w:space="0" w:color="auto"/>
        <w:bottom w:val="none" w:sz="0" w:space="0" w:color="auto"/>
        <w:right w:val="none" w:sz="0" w:space="0" w:color="auto"/>
      </w:divBdr>
    </w:div>
    <w:div w:id="20208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17CD-B201-4B80-A739-CD0468E4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5409</Words>
  <Characters>29752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3</cp:revision>
  <cp:lastPrinted>2023-10-27T20:50:00Z</cp:lastPrinted>
  <dcterms:created xsi:type="dcterms:W3CDTF">2023-10-27T20:49:00Z</dcterms:created>
  <dcterms:modified xsi:type="dcterms:W3CDTF">2023-10-27T20:51:00Z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