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FC" w:rsidRDefault="005C74A9" w:rsidP="00862F52">
      <w:pPr>
        <w:tabs>
          <w:tab w:val="left" w:pos="6804"/>
        </w:tabs>
        <w:jc w:val="center"/>
      </w:pPr>
      <w:bookmarkStart w:id="0" w:name="_GoBack"/>
      <w:bookmarkEnd w:id="0"/>
      <w:r>
        <w:rPr>
          <w:noProof/>
          <w:szCs w:val="20"/>
          <w:lang w:val="es-MX" w:eastAsia="es-MX"/>
        </w:rPr>
        <w:t xml:space="preserve"> </w:t>
      </w:r>
      <w:bookmarkStart w:id="1" w:name="_MON_1523087728"/>
      <w:bookmarkStart w:id="2" w:name="_MON_1523275560"/>
      <w:bookmarkStart w:id="3" w:name="_MON_1523087798"/>
      <w:bookmarkStart w:id="4" w:name="_MON_1522822011"/>
      <w:bookmarkStart w:id="5" w:name="_MON_1523260622"/>
      <w:bookmarkStart w:id="6" w:name="_MON_1523087847"/>
      <w:bookmarkStart w:id="7" w:name="_Hlk124265935"/>
      <w:bookmarkEnd w:id="1"/>
      <w:bookmarkEnd w:id="2"/>
      <w:bookmarkEnd w:id="3"/>
      <w:bookmarkEnd w:id="4"/>
      <w:bookmarkEnd w:id="5"/>
      <w:bookmarkEnd w:id="6"/>
    </w:p>
    <w:p w:rsidR="00C0293A" w:rsidRPr="00E74967" w:rsidRDefault="0071275D" w:rsidP="00C0293A">
      <w:pPr>
        <w:jc w:val="center"/>
        <w:rPr>
          <w:rFonts w:cs="Calibri"/>
          <w:b/>
          <w:sz w:val="28"/>
          <w:szCs w:val="28"/>
        </w:rPr>
      </w:pPr>
      <w:hyperlink r:id="rId8" w:history="1">
        <w:r w:rsidR="00C0293A" w:rsidRPr="00E74967">
          <w:rPr>
            <w:rStyle w:val="Hipervnculo"/>
            <w:rFonts w:cs="Calibri"/>
            <w:b/>
            <w:sz w:val="28"/>
            <w:szCs w:val="28"/>
          </w:rPr>
          <w:t>NOTAS DE GESTIÓN ADMINISTRATIVA</w:t>
        </w:r>
      </w:hyperlink>
    </w:p>
    <w:p w:rsidR="00C0293A" w:rsidRDefault="00C0293A" w:rsidP="00C0293A">
      <w:pPr>
        <w:jc w:val="both"/>
        <w:rPr>
          <w:rFonts w:cs="Calibri"/>
        </w:rPr>
      </w:pPr>
    </w:p>
    <w:p w:rsidR="00C0293A" w:rsidRPr="00641410" w:rsidRDefault="00C0293A" w:rsidP="00C0293A">
      <w:pPr>
        <w:jc w:val="center"/>
        <w:rPr>
          <w:rStyle w:val="Hipervnculo"/>
          <w:rFonts w:cs="Calibri"/>
          <w:b/>
          <w:sz w:val="28"/>
          <w:szCs w:val="28"/>
        </w:rPr>
      </w:pPr>
      <w:r w:rsidRPr="00641410">
        <w:rPr>
          <w:rStyle w:val="Hipervnculo"/>
          <w:rFonts w:cs="Calibri"/>
          <w:b/>
          <w:sz w:val="28"/>
          <w:szCs w:val="28"/>
        </w:rPr>
        <w:t xml:space="preserve">AL </w:t>
      </w:r>
      <w:r>
        <w:rPr>
          <w:rStyle w:val="Hipervnculo"/>
          <w:rFonts w:cs="Calibri"/>
          <w:b/>
          <w:sz w:val="28"/>
          <w:szCs w:val="28"/>
        </w:rPr>
        <w:t>PRIMER</w:t>
      </w:r>
      <w:r w:rsidRPr="00641410">
        <w:rPr>
          <w:rStyle w:val="Hipervnculo"/>
          <w:rFonts w:cs="Calibri"/>
          <w:b/>
          <w:sz w:val="28"/>
          <w:szCs w:val="28"/>
        </w:rPr>
        <w:t xml:space="preserve"> TRIMESTRE DE 202</w:t>
      </w:r>
      <w:r>
        <w:rPr>
          <w:rStyle w:val="Hipervnculo"/>
          <w:rFonts w:cs="Calibri"/>
          <w:b/>
          <w:sz w:val="28"/>
          <w:szCs w:val="28"/>
        </w:rPr>
        <w:t>4</w:t>
      </w:r>
    </w:p>
    <w:p w:rsidR="00C0293A" w:rsidRDefault="00C0293A" w:rsidP="00C0293A">
      <w:pPr>
        <w:jc w:val="center"/>
        <w:rPr>
          <w:rStyle w:val="Hipervnculo"/>
          <w:b/>
          <w:sz w:val="28"/>
          <w:szCs w:val="28"/>
        </w:rPr>
      </w:pPr>
    </w:p>
    <w:p w:rsidR="00C0293A" w:rsidRDefault="00C0293A" w:rsidP="00C0293A">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1. Introducción:</w:t>
      </w:r>
    </w:p>
    <w:p w:rsidR="00C0293A" w:rsidRDefault="00C0293A" w:rsidP="00C0293A">
      <w:pPr>
        <w:jc w:val="both"/>
        <w:rPr>
          <w:rFonts w:ascii="Arial" w:hAnsi="Arial" w:cs="Arial"/>
          <w:sz w:val="20"/>
          <w:szCs w:val="20"/>
        </w:rPr>
      </w:pPr>
      <w:r w:rsidRPr="006E394E">
        <w:rPr>
          <w:rFonts w:ascii="Arial" w:hAnsi="Arial" w:cs="Arial"/>
          <w:sz w:val="20"/>
          <w:szCs w:val="20"/>
        </w:rPr>
        <w:t>Breve descripción de las actividades principales de la entidad.</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C0293A" w:rsidRPr="006E394E" w:rsidRDefault="00C0293A" w:rsidP="00C0293A">
      <w:pPr>
        <w:jc w:val="both"/>
        <w:rPr>
          <w:rFonts w:ascii="Arial" w:hAnsi="Arial" w:cs="Arial"/>
          <w:sz w:val="20"/>
          <w:szCs w:val="20"/>
          <w:u w:val="single"/>
        </w:rPr>
      </w:pPr>
    </w:p>
    <w:p w:rsidR="00C0293A" w:rsidRDefault="00C0293A" w:rsidP="00C0293A">
      <w:pPr>
        <w:jc w:val="both"/>
        <w:rPr>
          <w:rFonts w:ascii="Arial" w:hAnsi="Arial" w:cs="Arial"/>
          <w:sz w:val="20"/>
          <w:szCs w:val="20"/>
        </w:rPr>
      </w:pPr>
      <w:r w:rsidRPr="006E394E">
        <w:rPr>
          <w:rFonts w:ascii="Arial" w:hAnsi="Arial" w:cs="Arial"/>
          <w:sz w:val="20"/>
          <w:szCs w:val="20"/>
        </w:rPr>
        <w:t>Tiene las siguientes funciones:</w:t>
      </w:r>
    </w:p>
    <w:p w:rsidR="00C0293A" w:rsidRPr="006E394E" w:rsidRDefault="00C0293A" w:rsidP="00C0293A">
      <w:pPr>
        <w:jc w:val="both"/>
        <w:rPr>
          <w:rFonts w:ascii="Arial" w:hAnsi="Arial" w:cs="Arial"/>
          <w:sz w:val="20"/>
          <w:szCs w:val="20"/>
        </w:rPr>
      </w:pP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C0293A" w:rsidRPr="006E394E" w:rsidRDefault="00C0293A" w:rsidP="00C0293A">
      <w:pPr>
        <w:pStyle w:val="Prrafodelista"/>
        <w:numPr>
          <w:ilvl w:val="0"/>
          <w:numId w:val="9"/>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lastRenderedPageBreak/>
        <w:t>2. Describir el panorama Económico y Financiero:</w:t>
      </w:r>
      <w:r>
        <w:rPr>
          <w:rFonts w:ascii="Arial" w:hAnsi="Arial" w:cs="Arial"/>
          <w:b/>
          <w:sz w:val="20"/>
          <w:szCs w:val="20"/>
        </w:rPr>
        <w:t xml:space="preserve"> </w:t>
      </w:r>
    </w:p>
    <w:p w:rsidR="00C0293A" w:rsidRDefault="00C0293A" w:rsidP="00C0293A">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C0293A" w:rsidRDefault="00C0293A" w:rsidP="00C0293A">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C0293A" w:rsidRDefault="00C0293A" w:rsidP="00C0293A">
      <w:pPr>
        <w:jc w:val="both"/>
        <w:rPr>
          <w:rFonts w:ascii="Arial" w:hAnsi="Arial" w:cs="Arial"/>
          <w:sz w:val="20"/>
          <w:szCs w:val="20"/>
        </w:rPr>
      </w:pPr>
    </w:p>
    <w:p w:rsidR="00C0293A" w:rsidRPr="00C0293A" w:rsidRDefault="00C0293A" w:rsidP="00C0293A">
      <w:pPr>
        <w:pBdr>
          <w:top w:val="nil"/>
          <w:left w:val="nil"/>
          <w:bottom w:val="nil"/>
          <w:right w:val="nil"/>
          <w:between w:val="nil"/>
        </w:pBdr>
        <w:tabs>
          <w:tab w:val="left" w:pos="1319"/>
        </w:tabs>
        <w:ind w:right="49"/>
        <w:jc w:val="both"/>
        <w:rPr>
          <w:rFonts w:ascii="Arial" w:hAnsi="Arial" w:cs="Arial"/>
          <w:sz w:val="20"/>
          <w:szCs w:val="20"/>
        </w:rPr>
      </w:pPr>
      <w:r w:rsidRPr="00C0293A">
        <w:rPr>
          <w:rFonts w:ascii="Arial" w:hAnsi="Arial" w:cs="Arial"/>
          <w:sz w:val="20"/>
          <w:szCs w:val="20"/>
        </w:rPr>
        <w:t xml:space="preserve">Con fecha 29 de mayo de 2023 se publicó en el </w:t>
      </w:r>
      <w:r>
        <w:rPr>
          <w:rFonts w:ascii="Arial" w:hAnsi="Arial" w:cs="Arial"/>
          <w:sz w:val="20"/>
          <w:szCs w:val="20"/>
        </w:rPr>
        <w:t xml:space="preserve">Diario Oficial de la Federación </w:t>
      </w:r>
      <w:r w:rsidRPr="00C0293A">
        <w:rPr>
          <w:rFonts w:ascii="Arial" w:hAnsi="Arial" w:cs="Arial"/>
          <w:sz w:val="20"/>
          <w:szCs w:val="20"/>
        </w:rPr>
        <w:t>“DOF” el Decreto por el que se reforman, adicionan y derogan diversas disposiciones de la</w:t>
      </w:r>
      <w:r>
        <w:rPr>
          <w:rFonts w:ascii="Arial" w:hAnsi="Arial" w:cs="Arial"/>
          <w:sz w:val="20"/>
          <w:szCs w:val="20"/>
        </w:rPr>
        <w:t xml:space="preserve"> Ley General de Salud</w:t>
      </w:r>
      <w:r w:rsidRPr="00C0293A">
        <w:rPr>
          <w:rFonts w:ascii="Arial" w:hAnsi="Arial" w:cs="Arial"/>
          <w:sz w:val="20"/>
          <w:szCs w:val="20"/>
        </w:rPr>
        <w:t xml:space="preserve"> “LGS”, en el que se estableció que, de conformidad con los artículos 7, fracción II y 77 bis 35, “IMSS-BIENESTAR” colaborará con la Secretaría de Salud en lo que respecta a la prestación gratuita de los servicios de salud, medicamentos y demás insumos asociados que requieran las personas sin seguridad social, en el marco del Sistema de Salud para el Bienestar, con las atribuciones para ello, por lo que con motivo del citado Decreto, la Secretaría de Salud el “IMSS-BIENESTAR” asumen las funciones del Instituto de Salud para el Bienestar, en los términos previstos en el mismo.</w:t>
      </w:r>
    </w:p>
    <w:p w:rsidR="00C0293A" w:rsidRPr="00C0293A" w:rsidRDefault="00C0293A" w:rsidP="00C0293A">
      <w:pPr>
        <w:rPr>
          <w:rFonts w:ascii="Arial" w:hAnsi="Arial" w:cs="Arial"/>
          <w:sz w:val="20"/>
          <w:szCs w:val="20"/>
        </w:rPr>
      </w:pPr>
    </w:p>
    <w:p w:rsidR="00C0293A" w:rsidRPr="00C0293A" w:rsidRDefault="00C0293A" w:rsidP="00C0293A">
      <w:pPr>
        <w:pBdr>
          <w:top w:val="nil"/>
          <w:left w:val="nil"/>
          <w:bottom w:val="nil"/>
          <w:right w:val="nil"/>
          <w:between w:val="nil"/>
        </w:pBdr>
        <w:tabs>
          <w:tab w:val="left" w:pos="1319"/>
        </w:tabs>
        <w:ind w:right="49"/>
        <w:jc w:val="both"/>
        <w:rPr>
          <w:rFonts w:ascii="Arial" w:hAnsi="Arial" w:cs="Arial"/>
          <w:sz w:val="20"/>
          <w:szCs w:val="20"/>
        </w:rPr>
      </w:pPr>
      <w:r w:rsidRPr="00C0293A">
        <w:rPr>
          <w:rFonts w:ascii="Arial" w:hAnsi="Arial" w:cs="Arial"/>
          <w:sz w:val="20"/>
          <w:szCs w:val="20"/>
        </w:rPr>
        <w:t xml:space="preserve">De conformidad con lo señalado en el artículo 77 bis 15, párrafo cuarto, de la “LGS”, en los casos en que la entidad federativa no concurra con “IMSS-BIENESTAR”, la transferencia de recursos podrá realizarse en numerario directamente a las Entidades Federativas; conforme a los Lineamientos de </w:t>
      </w:r>
      <w:r w:rsidRPr="00C0293A">
        <w:rPr>
          <w:rFonts w:ascii="Arial" w:hAnsi="Arial" w:cs="Arial"/>
          <w:sz w:val="20"/>
          <w:szCs w:val="20"/>
        </w:rPr>
        <w:lastRenderedPageBreak/>
        <w:t>Operación para el ejercicio fiscal vigente, así como a las disposiciones que para tal efecto emitan la Secretaría de Salud y la Secretaría de Hacienda y Crédito Público, en el ámbito de sus respectivas competencias.</w:t>
      </w:r>
    </w:p>
    <w:p w:rsidR="00C0293A" w:rsidRPr="00C0293A" w:rsidRDefault="00C0293A" w:rsidP="00C0293A">
      <w:pPr>
        <w:rPr>
          <w:rFonts w:ascii="Arial" w:hAnsi="Arial" w:cs="Arial"/>
          <w:sz w:val="20"/>
          <w:szCs w:val="20"/>
        </w:rPr>
      </w:pPr>
    </w:p>
    <w:p w:rsidR="00C0293A" w:rsidRPr="00C0293A" w:rsidRDefault="00C0293A" w:rsidP="00C0293A">
      <w:pPr>
        <w:pBdr>
          <w:top w:val="nil"/>
          <w:left w:val="nil"/>
          <w:bottom w:val="nil"/>
          <w:right w:val="nil"/>
          <w:between w:val="nil"/>
        </w:pBdr>
        <w:tabs>
          <w:tab w:val="left" w:pos="1319"/>
        </w:tabs>
        <w:ind w:right="49"/>
        <w:jc w:val="both"/>
        <w:rPr>
          <w:rFonts w:ascii="Arial" w:hAnsi="Arial" w:cs="Arial"/>
          <w:sz w:val="20"/>
          <w:szCs w:val="20"/>
        </w:rPr>
      </w:pPr>
      <w:r w:rsidRPr="00C0293A">
        <w:rPr>
          <w:rFonts w:ascii="Arial" w:hAnsi="Arial" w:cs="Arial"/>
          <w:sz w:val="20"/>
          <w:szCs w:val="20"/>
        </w:rPr>
        <w:t>Con fecha 16 de enero de 2024 la Junta de Gobierno de “IMSS-BIENESTAR” aprobó los Lineamientos de Operación del Programa Presupuestario Atención a la Salud y Medicamentos Gratuitos para la Población sin Seguridad Social Laboral (U013), en los que se precisa las condiciones de transferencia de los recursos a entidades no concurrentes, así como la obligación de la suscripción del Acuerdo de Coordinación correspondiente para tal efecto.</w:t>
      </w:r>
    </w:p>
    <w:p w:rsidR="00C0293A" w:rsidRPr="00C0293A" w:rsidRDefault="00C0293A" w:rsidP="00C0293A">
      <w:pPr>
        <w:pBdr>
          <w:top w:val="nil"/>
          <w:left w:val="nil"/>
          <w:bottom w:val="nil"/>
          <w:right w:val="nil"/>
          <w:between w:val="nil"/>
        </w:pBdr>
        <w:tabs>
          <w:tab w:val="left" w:pos="1319"/>
        </w:tabs>
        <w:ind w:right="49"/>
        <w:jc w:val="both"/>
        <w:rPr>
          <w:rFonts w:ascii="Arial" w:hAnsi="Arial" w:cs="Arial"/>
          <w:sz w:val="20"/>
          <w:szCs w:val="20"/>
        </w:rPr>
      </w:pPr>
    </w:p>
    <w:p w:rsidR="00C0293A" w:rsidRPr="00C0293A" w:rsidRDefault="00C0293A" w:rsidP="00C0293A">
      <w:pPr>
        <w:pBdr>
          <w:top w:val="nil"/>
          <w:left w:val="nil"/>
          <w:bottom w:val="nil"/>
          <w:right w:val="nil"/>
          <w:between w:val="nil"/>
        </w:pBdr>
        <w:tabs>
          <w:tab w:val="left" w:pos="1319"/>
        </w:tabs>
        <w:ind w:right="49"/>
        <w:jc w:val="both"/>
        <w:rPr>
          <w:rFonts w:ascii="Arial" w:hAnsi="Arial" w:cs="Arial"/>
          <w:sz w:val="20"/>
          <w:szCs w:val="20"/>
        </w:rPr>
      </w:pPr>
      <w:r w:rsidRPr="00C0293A">
        <w:rPr>
          <w:rFonts w:ascii="Arial" w:hAnsi="Arial" w:cs="Arial"/>
          <w:sz w:val="20"/>
          <w:szCs w:val="20"/>
        </w:rPr>
        <w:t>Con fecha 06 de febrero del 2024 el “IMSS-BIENESTAR” y el PODER EJECUTIVO DEL ESTADO DE GUANAJUATO, suscribieron ACUERDO DE COORDINACIÓN EN MATERIA DE TRANSFERENCIA DE RECURSOS presupuestarios con carácter de subsidio para garantizar la prestación gratuita de servicios de salud, medicamentos y demás insumos asociados para las personas sin seguridad social en los términos previstos en el título tercero bis de la ley general de salud.</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3. Autorización e Historia:</w:t>
      </w:r>
    </w:p>
    <w:p w:rsidR="00C0293A" w:rsidRDefault="00C0293A" w:rsidP="00C0293A">
      <w:pPr>
        <w:jc w:val="both"/>
        <w:rPr>
          <w:rFonts w:ascii="Arial" w:hAnsi="Arial" w:cs="Arial"/>
          <w:sz w:val="20"/>
          <w:szCs w:val="20"/>
        </w:rPr>
      </w:pPr>
      <w:r w:rsidRPr="006E394E">
        <w:rPr>
          <w:rFonts w:ascii="Arial" w:hAnsi="Arial" w:cs="Arial"/>
          <w:sz w:val="20"/>
          <w:szCs w:val="20"/>
        </w:rPr>
        <w:t>Se informará sobre:</w:t>
      </w: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C0293A" w:rsidRPr="006E394E" w:rsidRDefault="00C0293A" w:rsidP="00C0293A">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C0293A"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r>
        <w:rPr>
          <w:rFonts w:ascii="Arial" w:hAnsi="Arial" w:cs="Arial"/>
          <w:b/>
          <w:sz w:val="20"/>
          <w:szCs w:val="20"/>
        </w:rPr>
        <w:t xml:space="preserve">de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r>
        <w:rPr>
          <w:rFonts w:ascii="Arial" w:hAnsi="Arial" w:cs="Arial"/>
          <w:b/>
          <w:sz w:val="20"/>
          <w:szCs w:val="20"/>
        </w:rPr>
        <w:t xml:space="preserve">de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 xml:space="preserve">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w:t>
      </w:r>
      <w:r w:rsidRPr="006E394E">
        <w:rPr>
          <w:rFonts w:ascii="Arial" w:hAnsi="Arial" w:cs="Arial"/>
          <w:sz w:val="20"/>
          <w:szCs w:val="20"/>
        </w:rPr>
        <w:lastRenderedPageBreak/>
        <w:t>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Pr>
          <w:rFonts w:ascii="Arial" w:hAnsi="Arial" w:cs="Arial"/>
          <w:sz w:val="20"/>
          <w:szCs w:val="20"/>
        </w:rPr>
        <w:t>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C0293A" w:rsidRDefault="00C0293A" w:rsidP="00C0293A">
      <w:pPr>
        <w:jc w:val="both"/>
        <w:rPr>
          <w:rFonts w:ascii="Arial" w:hAnsi="Arial" w:cs="Arial"/>
          <w:sz w:val="20"/>
          <w:szCs w:val="20"/>
        </w:rPr>
      </w:pPr>
    </w:p>
    <w:p w:rsidR="00C0293A" w:rsidRPr="008541C8" w:rsidRDefault="00C0293A" w:rsidP="00C0293A">
      <w:pPr>
        <w:jc w:val="both"/>
        <w:rPr>
          <w:rFonts w:ascii="Arial" w:hAnsi="Arial" w:cs="Arial"/>
          <w:sz w:val="20"/>
          <w:szCs w:val="20"/>
        </w:rPr>
      </w:pPr>
      <w:r w:rsidRPr="008541C8">
        <w:rPr>
          <w:rFonts w:ascii="Arial" w:hAnsi="Arial" w:cs="Arial"/>
          <w:sz w:val="20"/>
          <w:szCs w:val="20"/>
        </w:rPr>
        <w:t xml:space="preserve">Decreto Gubernativo 153, mediante el cual se reforman, adicionan y derogan diversas disposiciones, todos del Decreto Gubernativo número 42, publicado en el Periódico Oficial del gobierno del Estado de Guanajuato número 50-B, Novena Parte, de 25 de junio de 2001, mediante el cual se reestructura la organización interna del Instituto de Salud Pública del Estado de Guanajuato, y se expide el Reglamento Interior del Instituto de Salud Pública del Estado de Guanajuato. </w:t>
      </w:r>
    </w:p>
    <w:p w:rsidR="00C0293A" w:rsidRPr="006E394E" w:rsidRDefault="00C0293A" w:rsidP="00C0293A">
      <w:pPr>
        <w:jc w:val="both"/>
        <w:rPr>
          <w:rFonts w:ascii="Arial" w:hAnsi="Arial" w:cs="Arial"/>
          <w:sz w:val="20"/>
          <w:szCs w:val="20"/>
        </w:rPr>
      </w:pPr>
      <w:r w:rsidRPr="008541C8">
        <w:rPr>
          <w:rFonts w:ascii="Arial" w:hAnsi="Arial" w:cs="Arial"/>
          <w:sz w:val="20"/>
          <w:szCs w:val="20"/>
        </w:rPr>
        <w:t>Del Reglamento Interior del Instituto de Salud Pública del Estado de Guanajuato, emitido mediante el Decreto Gubernativo número 153 y publicado en el Periódico Oficial del Estado de Guanajuato el 07 de diciembre de 2023.</w:t>
      </w:r>
      <w:r>
        <w:rPr>
          <w:rFonts w:ascii="Arial" w:hAnsi="Arial" w:cs="Arial"/>
          <w:sz w:val="20"/>
          <w:szCs w:val="20"/>
        </w:rPr>
        <w:t xml:space="preserve"> </w:t>
      </w:r>
    </w:p>
    <w:p w:rsidR="004764FC" w:rsidRDefault="004764FC" w:rsidP="00C0293A">
      <w:pPr>
        <w:tabs>
          <w:tab w:val="left" w:pos="4990"/>
        </w:tabs>
        <w:jc w:val="both"/>
        <w:rPr>
          <w:rFonts w:ascii="Arial" w:hAnsi="Arial" w:cs="Arial"/>
          <w:sz w:val="20"/>
          <w:szCs w:val="20"/>
        </w:rPr>
      </w:pPr>
    </w:p>
    <w:p w:rsidR="00C0293A" w:rsidRDefault="00C0293A" w:rsidP="00C0293A">
      <w:pPr>
        <w:tabs>
          <w:tab w:val="left" w:pos="4990"/>
        </w:tabs>
        <w:jc w:val="both"/>
        <w:rPr>
          <w:rFonts w:ascii="Arial" w:hAnsi="Arial" w:cs="Arial"/>
          <w:sz w:val="20"/>
          <w:szCs w:val="20"/>
        </w:rPr>
      </w:pPr>
      <w:r>
        <w:rPr>
          <w:rFonts w:ascii="Arial" w:hAnsi="Arial" w:cs="Arial"/>
          <w:sz w:val="20"/>
          <w:szCs w:val="20"/>
        </w:rPr>
        <w:tab/>
      </w:r>
    </w:p>
    <w:p w:rsidR="00C0293A" w:rsidRPr="006E394E" w:rsidRDefault="00C0293A" w:rsidP="00C0293A">
      <w:pPr>
        <w:jc w:val="both"/>
        <w:rPr>
          <w:rFonts w:ascii="Arial" w:hAnsi="Arial" w:cs="Arial"/>
          <w:b/>
          <w:sz w:val="20"/>
          <w:szCs w:val="20"/>
        </w:rPr>
      </w:pPr>
      <w:r w:rsidRPr="006E394E">
        <w:rPr>
          <w:rFonts w:ascii="Arial" w:hAnsi="Arial" w:cs="Arial"/>
          <w:b/>
          <w:sz w:val="20"/>
          <w:szCs w:val="20"/>
        </w:rPr>
        <w:t>4. Organización y Objeto Social:</w:t>
      </w:r>
    </w:p>
    <w:p w:rsidR="00C0293A" w:rsidRDefault="00C0293A" w:rsidP="00C0293A">
      <w:pPr>
        <w:jc w:val="both"/>
        <w:rPr>
          <w:rFonts w:ascii="Arial" w:hAnsi="Arial" w:cs="Arial"/>
          <w:sz w:val="20"/>
          <w:szCs w:val="20"/>
        </w:rPr>
      </w:pPr>
      <w:r w:rsidRPr="006E394E">
        <w:rPr>
          <w:rFonts w:ascii="Arial" w:hAnsi="Arial" w:cs="Arial"/>
          <w:sz w:val="20"/>
          <w:szCs w:val="20"/>
        </w:rPr>
        <w:t>Se informará sobre:</w:t>
      </w:r>
    </w:p>
    <w:p w:rsidR="00C0293A" w:rsidRDefault="00C0293A" w:rsidP="00C0293A">
      <w:pPr>
        <w:jc w:val="both"/>
        <w:rPr>
          <w:rFonts w:ascii="Arial" w:hAnsi="Arial" w:cs="Arial"/>
          <w:sz w:val="20"/>
          <w:szCs w:val="20"/>
        </w:rPr>
      </w:pPr>
    </w:p>
    <w:p w:rsidR="00C0293A" w:rsidRPr="006E394E" w:rsidRDefault="00C0293A" w:rsidP="00C0293A">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C0293A" w:rsidRPr="006E394E" w:rsidRDefault="00C0293A" w:rsidP="00C0293A">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C0293A" w:rsidRPr="006E394E" w:rsidRDefault="00C0293A" w:rsidP="00C0293A">
      <w:pPr>
        <w:pStyle w:val="Prrafodelista"/>
        <w:numPr>
          <w:ilvl w:val="0"/>
          <w:numId w:val="13"/>
        </w:numPr>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C0293A" w:rsidRPr="006E394E" w:rsidRDefault="00C0293A" w:rsidP="00C0293A">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C0293A" w:rsidRPr="006E394E" w:rsidRDefault="00C0293A" w:rsidP="00C0293A">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C0293A" w:rsidRDefault="00C0293A" w:rsidP="00C0293A">
      <w:pPr>
        <w:jc w:val="both"/>
        <w:rPr>
          <w:rFonts w:ascii="Arial" w:hAnsi="Arial" w:cs="Arial"/>
          <w:b/>
          <w:sz w:val="20"/>
          <w:szCs w:val="20"/>
        </w:rPr>
      </w:pPr>
    </w:p>
    <w:p w:rsidR="00C0293A" w:rsidRPr="00D21344" w:rsidRDefault="00C0293A" w:rsidP="00C0293A">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C0293A" w:rsidRPr="006E394E" w:rsidRDefault="00C0293A" w:rsidP="00C0293A">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Pr>
          <w:rFonts w:ascii="Arial" w:hAnsi="Arial" w:cs="Arial"/>
          <w:sz w:val="20"/>
          <w:szCs w:val="20"/>
        </w:rPr>
        <w:t>4</w:t>
      </w:r>
      <w:r w:rsidRPr="00D21344">
        <w:rPr>
          <w:rFonts w:ascii="Arial" w:hAnsi="Arial" w:cs="Arial"/>
          <w:sz w:val="20"/>
          <w:szCs w:val="20"/>
        </w:rPr>
        <w:t>.</w:t>
      </w:r>
    </w:p>
    <w:p w:rsidR="00C0293A" w:rsidRPr="006E394E"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lastRenderedPageBreak/>
        <w:t>d)</w:t>
      </w:r>
      <w:r w:rsidRPr="006E394E">
        <w:rPr>
          <w:rFonts w:ascii="Arial" w:hAnsi="Arial" w:cs="Arial"/>
          <w:sz w:val="20"/>
          <w:szCs w:val="20"/>
        </w:rPr>
        <w:t xml:space="preserve"> Régimen jurídico</w:t>
      </w:r>
      <w:r>
        <w:rPr>
          <w:rFonts w:ascii="Arial" w:hAnsi="Arial" w:cs="Arial"/>
          <w:sz w:val="20"/>
          <w:szCs w:val="20"/>
        </w:rPr>
        <w:t>.</w:t>
      </w:r>
    </w:p>
    <w:p w:rsidR="00C0293A" w:rsidRDefault="00C0293A" w:rsidP="00C0293A">
      <w:pPr>
        <w:jc w:val="both"/>
        <w:rPr>
          <w:rFonts w:ascii="Arial" w:hAnsi="Arial" w:cs="Arial"/>
          <w:sz w:val="20"/>
          <w:szCs w:val="20"/>
        </w:rPr>
      </w:pPr>
      <w:r w:rsidRPr="006E394E">
        <w:rPr>
          <w:rFonts w:ascii="Arial" w:hAnsi="Arial" w:cs="Arial"/>
          <w:sz w:val="20"/>
          <w:szCs w:val="20"/>
        </w:rPr>
        <w:t>El Régimen jurídico con el que se encuentra registrado el Instituto de Salud Pública de</w:t>
      </w:r>
    </w:p>
    <w:p w:rsidR="00C0293A" w:rsidRPr="006E394E" w:rsidRDefault="00C0293A" w:rsidP="00C0293A">
      <w:pPr>
        <w:jc w:val="both"/>
        <w:rPr>
          <w:rFonts w:ascii="Arial" w:hAnsi="Arial" w:cs="Arial"/>
          <w:sz w:val="20"/>
          <w:szCs w:val="20"/>
        </w:rPr>
      </w:pPr>
      <w:r w:rsidRPr="006E394E">
        <w:rPr>
          <w:rFonts w:ascii="Arial" w:hAnsi="Arial" w:cs="Arial"/>
          <w:sz w:val="20"/>
          <w:szCs w:val="20"/>
        </w:rPr>
        <w:t xml:space="preserve">l Estado de Guanajuato es: </w:t>
      </w:r>
    </w:p>
    <w:p w:rsidR="00C0293A" w:rsidRPr="006E394E" w:rsidRDefault="00C0293A" w:rsidP="00C0293A">
      <w:pPr>
        <w:jc w:val="both"/>
        <w:rPr>
          <w:rFonts w:ascii="Arial" w:hAnsi="Arial" w:cs="Arial"/>
          <w:sz w:val="20"/>
          <w:szCs w:val="20"/>
        </w:rPr>
      </w:pPr>
      <w:r w:rsidRPr="006E394E">
        <w:rPr>
          <w:rFonts w:ascii="Arial" w:hAnsi="Arial" w:cs="Arial"/>
          <w:sz w:val="20"/>
          <w:szCs w:val="20"/>
        </w:rPr>
        <w:t>Régimen de las Personas Morales con Fines no Lucrativos.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C0293A" w:rsidRPr="006E394E" w:rsidRDefault="00C0293A" w:rsidP="00C0293A">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C0293A" w:rsidRDefault="00C0293A" w:rsidP="00C0293A">
      <w:pPr>
        <w:jc w:val="both"/>
        <w:rPr>
          <w:rFonts w:ascii="Arial" w:hAnsi="Arial" w:cs="Arial"/>
          <w:sz w:val="20"/>
          <w:szCs w:val="20"/>
          <w:u w:val="single"/>
        </w:rPr>
      </w:pPr>
    </w:p>
    <w:p w:rsidR="00C0293A" w:rsidRPr="006E394E" w:rsidRDefault="00C0293A" w:rsidP="00C0293A">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C0293A" w:rsidRPr="006E394E" w:rsidRDefault="00C0293A" w:rsidP="00C0293A">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C0293A" w:rsidRPr="006E394E" w:rsidRDefault="00C0293A" w:rsidP="00C0293A">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C0293A" w:rsidRPr="006E394E" w:rsidRDefault="00C0293A" w:rsidP="00C0293A">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C0293A" w:rsidRPr="006E394E" w:rsidRDefault="00C0293A" w:rsidP="00C0293A">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C0293A" w:rsidRPr="006E394E" w:rsidRDefault="00C0293A" w:rsidP="00C0293A">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C0293A" w:rsidRDefault="00C0293A" w:rsidP="00C0293A">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C0293A" w:rsidRPr="006E394E" w:rsidRDefault="00C0293A" w:rsidP="00C0293A">
      <w:pPr>
        <w:pStyle w:val="Prrafodelista"/>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C0293A" w:rsidRPr="006E394E" w:rsidRDefault="00C0293A" w:rsidP="00C0293A">
      <w:pPr>
        <w:jc w:val="both"/>
        <w:rPr>
          <w:rFonts w:ascii="Arial" w:hAnsi="Arial" w:cs="Arial"/>
          <w:sz w:val="20"/>
          <w:szCs w:val="20"/>
        </w:rPr>
      </w:pPr>
    </w:p>
    <w:p w:rsidR="00C0293A" w:rsidRPr="006E394E" w:rsidRDefault="00C0293A" w:rsidP="00C0293A">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C0293A" w:rsidRPr="006E394E" w:rsidRDefault="00C0293A" w:rsidP="00C0293A">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C0293A" w:rsidRPr="006E394E" w:rsidRDefault="00C0293A" w:rsidP="00C0293A">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C0293A" w:rsidRPr="00BD32A2" w:rsidRDefault="00C0293A" w:rsidP="00C0293A">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C0293A" w:rsidRPr="006E394E" w:rsidRDefault="00C0293A" w:rsidP="00C0293A">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C0293A" w:rsidRDefault="00C0293A" w:rsidP="00C0293A">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C0293A" w:rsidRPr="006E394E" w:rsidRDefault="00C0293A" w:rsidP="00C0293A">
      <w:pPr>
        <w:ind w:firstLine="708"/>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I.- Director General</w:t>
      </w:r>
    </w:p>
    <w:p w:rsidR="00C0293A" w:rsidRPr="006E394E" w:rsidRDefault="00C0293A" w:rsidP="00C0293A">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C0293A" w:rsidRDefault="00C0293A" w:rsidP="00C0293A">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C0293A" w:rsidRPr="006E394E" w:rsidRDefault="00C0293A" w:rsidP="00C0293A">
      <w:pPr>
        <w:pStyle w:val="Prrafodelista"/>
        <w:numPr>
          <w:ilvl w:val="1"/>
          <w:numId w:val="14"/>
        </w:numPr>
        <w:jc w:val="both"/>
        <w:rPr>
          <w:rFonts w:ascii="Arial" w:hAnsi="Arial" w:cs="Arial"/>
          <w:i/>
          <w:sz w:val="20"/>
          <w:szCs w:val="20"/>
        </w:rPr>
      </w:pPr>
      <w:r>
        <w:rPr>
          <w:rFonts w:ascii="Arial" w:hAnsi="Arial" w:cs="Arial"/>
          <w:i/>
          <w:sz w:val="20"/>
          <w:szCs w:val="20"/>
        </w:rPr>
        <w:t>Coordinación de Asuntos Jurídicos</w:t>
      </w:r>
    </w:p>
    <w:p w:rsidR="00C0293A" w:rsidRDefault="00C0293A" w:rsidP="00C0293A">
      <w:pPr>
        <w:pStyle w:val="Prrafodelista"/>
        <w:numPr>
          <w:ilvl w:val="1"/>
          <w:numId w:val="14"/>
        </w:numPr>
        <w:jc w:val="both"/>
        <w:rPr>
          <w:rFonts w:ascii="Arial" w:hAnsi="Arial" w:cs="Arial"/>
          <w:i/>
          <w:sz w:val="20"/>
          <w:szCs w:val="20"/>
        </w:rPr>
      </w:pPr>
      <w:r>
        <w:rPr>
          <w:rFonts w:ascii="Arial" w:hAnsi="Arial" w:cs="Arial"/>
          <w:i/>
          <w:sz w:val="20"/>
          <w:szCs w:val="20"/>
        </w:rPr>
        <w:t xml:space="preserve">Coordinación de </w:t>
      </w:r>
      <w:r w:rsidRPr="006E394E">
        <w:rPr>
          <w:rFonts w:ascii="Arial" w:hAnsi="Arial" w:cs="Arial"/>
          <w:i/>
          <w:sz w:val="20"/>
          <w:szCs w:val="20"/>
        </w:rPr>
        <w:t>Comunicación Social</w:t>
      </w:r>
    </w:p>
    <w:p w:rsidR="00C0293A" w:rsidRPr="006E394E" w:rsidRDefault="00C0293A" w:rsidP="00C0293A">
      <w:pPr>
        <w:pStyle w:val="Prrafodelista"/>
        <w:numPr>
          <w:ilvl w:val="1"/>
          <w:numId w:val="14"/>
        </w:numPr>
        <w:jc w:val="both"/>
        <w:rPr>
          <w:rFonts w:ascii="Arial" w:hAnsi="Arial" w:cs="Arial"/>
          <w:i/>
          <w:sz w:val="20"/>
          <w:szCs w:val="20"/>
        </w:rPr>
      </w:pPr>
      <w:r>
        <w:rPr>
          <w:rFonts w:ascii="Arial" w:hAnsi="Arial" w:cs="Arial"/>
          <w:i/>
          <w:sz w:val="20"/>
          <w:szCs w:val="20"/>
        </w:rPr>
        <w:t>Coordinación Estatal de Calidad</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II.- Coordinador General de Salud Pública</w:t>
      </w:r>
    </w:p>
    <w:p w:rsidR="00C0293A" w:rsidRPr="006E394E" w:rsidRDefault="00C0293A" w:rsidP="00C0293A">
      <w:pPr>
        <w:pStyle w:val="Prrafodelista"/>
        <w:numPr>
          <w:ilvl w:val="1"/>
          <w:numId w:val="20"/>
        </w:numPr>
        <w:jc w:val="both"/>
        <w:rPr>
          <w:rFonts w:ascii="Arial" w:hAnsi="Arial" w:cs="Arial"/>
          <w:i/>
          <w:sz w:val="20"/>
          <w:szCs w:val="20"/>
        </w:rPr>
      </w:pPr>
      <w:r w:rsidRPr="006E394E">
        <w:rPr>
          <w:rFonts w:ascii="Arial" w:hAnsi="Arial" w:cs="Arial"/>
          <w:i/>
          <w:sz w:val="20"/>
          <w:szCs w:val="20"/>
        </w:rPr>
        <w:t>Direc</w:t>
      </w:r>
      <w:r>
        <w:rPr>
          <w:rFonts w:ascii="Arial" w:hAnsi="Arial" w:cs="Arial"/>
          <w:i/>
          <w:sz w:val="20"/>
          <w:szCs w:val="20"/>
        </w:rPr>
        <w:t>ción</w:t>
      </w:r>
      <w:r w:rsidRPr="006E394E">
        <w:rPr>
          <w:rFonts w:ascii="Arial" w:hAnsi="Arial" w:cs="Arial"/>
          <w:i/>
          <w:sz w:val="20"/>
          <w:szCs w:val="20"/>
        </w:rPr>
        <w:t xml:space="preserve"> General de </w:t>
      </w:r>
      <w:r>
        <w:rPr>
          <w:rFonts w:ascii="Arial" w:hAnsi="Arial" w:cs="Arial"/>
          <w:i/>
          <w:sz w:val="20"/>
          <w:szCs w:val="20"/>
        </w:rPr>
        <w:t>Prevención y Promoción de la Salud</w:t>
      </w:r>
      <w:r w:rsidRPr="006E394E">
        <w:rPr>
          <w:rFonts w:ascii="Arial" w:hAnsi="Arial" w:cs="Arial"/>
          <w:i/>
          <w:sz w:val="20"/>
          <w:szCs w:val="20"/>
        </w:rPr>
        <w:t xml:space="preserve"> </w:t>
      </w:r>
    </w:p>
    <w:p w:rsidR="00C0293A" w:rsidRDefault="00C0293A" w:rsidP="00C0293A">
      <w:pPr>
        <w:pStyle w:val="Prrafodelista"/>
        <w:numPr>
          <w:ilvl w:val="1"/>
          <w:numId w:val="20"/>
        </w:numPr>
        <w:jc w:val="both"/>
        <w:rPr>
          <w:rFonts w:ascii="Arial" w:hAnsi="Arial" w:cs="Arial"/>
          <w:sz w:val="20"/>
          <w:szCs w:val="20"/>
        </w:rPr>
      </w:pPr>
      <w:r>
        <w:rPr>
          <w:rFonts w:ascii="Arial" w:hAnsi="Arial" w:cs="Arial"/>
          <w:sz w:val="20"/>
          <w:szCs w:val="20"/>
        </w:rPr>
        <w:t>Dirección General de Atención Médica</w:t>
      </w:r>
    </w:p>
    <w:p w:rsidR="00C0293A" w:rsidRDefault="00C0293A" w:rsidP="00C0293A">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III.- Coordinador General de Administración y Finanzas</w:t>
      </w:r>
    </w:p>
    <w:p w:rsidR="00C0293A" w:rsidRPr="00F23D86" w:rsidRDefault="00C0293A" w:rsidP="00C0293A">
      <w:pPr>
        <w:pStyle w:val="Prrafodelista"/>
        <w:numPr>
          <w:ilvl w:val="1"/>
          <w:numId w:val="15"/>
        </w:numPr>
        <w:jc w:val="both"/>
        <w:rPr>
          <w:rFonts w:ascii="Arial" w:hAnsi="Arial" w:cs="Arial"/>
          <w:sz w:val="20"/>
          <w:szCs w:val="20"/>
        </w:rPr>
      </w:pPr>
      <w:r w:rsidRPr="006E394E">
        <w:rPr>
          <w:rFonts w:ascii="Arial" w:hAnsi="Arial" w:cs="Arial"/>
          <w:i/>
          <w:sz w:val="20"/>
          <w:szCs w:val="20"/>
        </w:rPr>
        <w:t>Director General de Planeación</w:t>
      </w:r>
    </w:p>
    <w:p w:rsidR="00C0293A" w:rsidRPr="00F23D86" w:rsidRDefault="00C0293A" w:rsidP="00C0293A">
      <w:pPr>
        <w:pStyle w:val="Prrafodelista"/>
        <w:numPr>
          <w:ilvl w:val="1"/>
          <w:numId w:val="15"/>
        </w:numPr>
        <w:jc w:val="both"/>
        <w:rPr>
          <w:rFonts w:ascii="Arial" w:hAnsi="Arial" w:cs="Arial"/>
          <w:sz w:val="20"/>
          <w:szCs w:val="20"/>
        </w:rPr>
      </w:pPr>
      <w:r w:rsidRPr="00F23D86">
        <w:rPr>
          <w:rFonts w:ascii="Arial" w:hAnsi="Arial" w:cs="Arial"/>
          <w:i/>
          <w:sz w:val="20"/>
          <w:szCs w:val="20"/>
        </w:rPr>
        <w:t>Director General de Administración</w:t>
      </w:r>
    </w:p>
    <w:p w:rsidR="00C0293A" w:rsidRPr="00F23D86" w:rsidRDefault="00C0293A" w:rsidP="00C0293A">
      <w:pPr>
        <w:pStyle w:val="Prrafodelista"/>
        <w:numPr>
          <w:ilvl w:val="1"/>
          <w:numId w:val="15"/>
        </w:numPr>
        <w:jc w:val="both"/>
        <w:rPr>
          <w:rFonts w:ascii="Arial" w:hAnsi="Arial" w:cs="Arial"/>
          <w:sz w:val="20"/>
          <w:szCs w:val="20"/>
        </w:rPr>
      </w:pPr>
      <w:r w:rsidRPr="00F23D86">
        <w:rPr>
          <w:rFonts w:ascii="Arial" w:hAnsi="Arial" w:cs="Arial"/>
          <w:i/>
          <w:sz w:val="20"/>
          <w:szCs w:val="20"/>
        </w:rPr>
        <w:t>Director General de Recursos Humanos</w:t>
      </w:r>
    </w:p>
    <w:p w:rsidR="00C0293A" w:rsidRPr="00F23D86" w:rsidRDefault="00C0293A" w:rsidP="00C0293A">
      <w:pPr>
        <w:pStyle w:val="Prrafodelista"/>
        <w:numPr>
          <w:ilvl w:val="1"/>
          <w:numId w:val="15"/>
        </w:numPr>
        <w:jc w:val="both"/>
        <w:rPr>
          <w:rFonts w:ascii="Arial" w:hAnsi="Arial" w:cs="Arial"/>
          <w:sz w:val="20"/>
          <w:szCs w:val="20"/>
        </w:rPr>
      </w:pPr>
      <w:r w:rsidRPr="00F23D86">
        <w:rPr>
          <w:rFonts w:ascii="Arial" w:hAnsi="Arial" w:cs="Arial"/>
          <w:i/>
          <w:sz w:val="20"/>
          <w:szCs w:val="20"/>
        </w:rPr>
        <w:t xml:space="preserve">Director General de </w:t>
      </w:r>
      <w:r>
        <w:rPr>
          <w:rFonts w:ascii="Arial" w:hAnsi="Arial" w:cs="Arial"/>
          <w:i/>
          <w:sz w:val="20"/>
          <w:szCs w:val="20"/>
        </w:rPr>
        <w:t>Recursos Materiales y Servicios Generales</w:t>
      </w:r>
    </w:p>
    <w:p w:rsidR="00C0293A" w:rsidRPr="00F23D86" w:rsidRDefault="00C0293A" w:rsidP="00C0293A">
      <w:pPr>
        <w:pStyle w:val="Prrafodelista"/>
        <w:numPr>
          <w:ilvl w:val="1"/>
          <w:numId w:val="15"/>
        </w:numPr>
        <w:jc w:val="both"/>
        <w:rPr>
          <w:rFonts w:ascii="Arial" w:hAnsi="Arial" w:cs="Arial"/>
          <w:sz w:val="20"/>
          <w:szCs w:val="20"/>
        </w:rPr>
      </w:pPr>
      <w:r>
        <w:rPr>
          <w:rFonts w:ascii="Arial" w:hAnsi="Arial" w:cs="Arial"/>
          <w:sz w:val="20"/>
          <w:szCs w:val="20"/>
        </w:rPr>
        <w:t>Dirección de Servicios Subrogados Médicos</w:t>
      </w:r>
    </w:p>
    <w:p w:rsidR="00C0293A" w:rsidRDefault="00C0293A" w:rsidP="00C0293A">
      <w:pPr>
        <w:pStyle w:val="Prrafodelista"/>
        <w:ind w:left="360"/>
        <w:jc w:val="both"/>
        <w:rPr>
          <w:rFonts w:ascii="Arial" w:hAnsi="Arial" w:cs="Arial"/>
          <w:b/>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I</w:t>
      </w:r>
      <w:r>
        <w:rPr>
          <w:rFonts w:ascii="Arial" w:hAnsi="Arial" w:cs="Arial"/>
          <w:b/>
          <w:sz w:val="20"/>
          <w:szCs w:val="20"/>
        </w:rPr>
        <w:t>V</w:t>
      </w:r>
      <w:r w:rsidRPr="006E394E">
        <w:rPr>
          <w:rFonts w:ascii="Arial" w:hAnsi="Arial" w:cs="Arial"/>
          <w:b/>
          <w:sz w:val="20"/>
          <w:szCs w:val="20"/>
        </w:rPr>
        <w:t xml:space="preserve">.- </w:t>
      </w:r>
      <w:r>
        <w:rPr>
          <w:rFonts w:ascii="Arial" w:hAnsi="Arial" w:cs="Arial"/>
          <w:b/>
          <w:sz w:val="20"/>
          <w:szCs w:val="20"/>
        </w:rPr>
        <w:t>Órganos Desconcentrados por Territorio</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I</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II</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III</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IV</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V</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VI</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VII</w:t>
      </w:r>
    </w:p>
    <w:p w:rsidR="00C0293A" w:rsidRPr="00F23D86" w:rsidRDefault="00C0293A" w:rsidP="00C0293A">
      <w:pPr>
        <w:pStyle w:val="Prrafodelista"/>
        <w:numPr>
          <w:ilvl w:val="1"/>
          <w:numId w:val="23"/>
        </w:numPr>
        <w:jc w:val="both"/>
        <w:rPr>
          <w:rFonts w:ascii="Arial" w:hAnsi="Arial" w:cs="Arial"/>
          <w:sz w:val="20"/>
          <w:szCs w:val="20"/>
        </w:rPr>
      </w:pPr>
      <w:r>
        <w:rPr>
          <w:rFonts w:ascii="Arial" w:hAnsi="Arial" w:cs="Arial"/>
          <w:i/>
          <w:sz w:val="20"/>
          <w:szCs w:val="20"/>
        </w:rPr>
        <w:t>Jurisdicción Sanitaria VIII</w:t>
      </w:r>
    </w:p>
    <w:p w:rsidR="00C0293A" w:rsidRDefault="00C0293A" w:rsidP="00C0293A">
      <w:pPr>
        <w:pStyle w:val="Prrafodelista"/>
        <w:jc w:val="both"/>
        <w:rPr>
          <w:rFonts w:ascii="Arial" w:hAnsi="Arial" w:cs="Arial"/>
          <w:sz w:val="20"/>
          <w:szCs w:val="20"/>
        </w:rPr>
      </w:pPr>
    </w:p>
    <w:p w:rsidR="00C0293A" w:rsidRPr="006E394E" w:rsidRDefault="00C0293A" w:rsidP="00C0293A">
      <w:pPr>
        <w:jc w:val="both"/>
        <w:rPr>
          <w:rFonts w:ascii="Arial" w:hAnsi="Arial" w:cs="Arial"/>
          <w:b/>
          <w:sz w:val="20"/>
          <w:szCs w:val="20"/>
        </w:rPr>
      </w:pPr>
      <w:r>
        <w:rPr>
          <w:rFonts w:ascii="Arial" w:hAnsi="Arial" w:cs="Arial"/>
          <w:b/>
          <w:sz w:val="20"/>
          <w:szCs w:val="20"/>
        </w:rPr>
        <w:t>V</w:t>
      </w:r>
      <w:r w:rsidRPr="006E394E">
        <w:rPr>
          <w:rFonts w:ascii="Arial" w:hAnsi="Arial" w:cs="Arial"/>
          <w:b/>
          <w:sz w:val="20"/>
          <w:szCs w:val="20"/>
        </w:rPr>
        <w:t xml:space="preserve">.- </w:t>
      </w:r>
      <w:r>
        <w:rPr>
          <w:rFonts w:ascii="Arial" w:hAnsi="Arial" w:cs="Arial"/>
          <w:b/>
          <w:sz w:val="20"/>
          <w:szCs w:val="20"/>
        </w:rPr>
        <w:t>Órganos Desconcentrados por Función</w:t>
      </w:r>
    </w:p>
    <w:p w:rsidR="00C0293A" w:rsidRPr="00F23D86" w:rsidRDefault="00C0293A" w:rsidP="00C0293A">
      <w:pPr>
        <w:pStyle w:val="Prrafodelista"/>
        <w:numPr>
          <w:ilvl w:val="1"/>
          <w:numId w:val="24"/>
        </w:numPr>
        <w:jc w:val="both"/>
        <w:rPr>
          <w:rFonts w:ascii="Arial" w:hAnsi="Arial" w:cs="Arial"/>
          <w:sz w:val="20"/>
          <w:szCs w:val="20"/>
        </w:rPr>
      </w:pPr>
      <w:r>
        <w:rPr>
          <w:rFonts w:ascii="Arial" w:hAnsi="Arial" w:cs="Arial"/>
          <w:i/>
          <w:sz w:val="20"/>
          <w:szCs w:val="20"/>
        </w:rPr>
        <w:t>Hospitales Generales</w:t>
      </w:r>
    </w:p>
    <w:p w:rsidR="00C0293A" w:rsidRPr="00F23D86" w:rsidRDefault="00C0293A" w:rsidP="00C0293A">
      <w:pPr>
        <w:pStyle w:val="Prrafodelista"/>
        <w:numPr>
          <w:ilvl w:val="1"/>
          <w:numId w:val="24"/>
        </w:numPr>
        <w:jc w:val="both"/>
        <w:rPr>
          <w:rFonts w:ascii="Arial" w:hAnsi="Arial" w:cs="Arial"/>
          <w:sz w:val="20"/>
          <w:szCs w:val="20"/>
        </w:rPr>
      </w:pPr>
      <w:r>
        <w:rPr>
          <w:rFonts w:ascii="Arial" w:hAnsi="Arial" w:cs="Arial"/>
          <w:i/>
          <w:sz w:val="20"/>
          <w:szCs w:val="20"/>
        </w:rPr>
        <w:t>Hospitales de especialidad</w:t>
      </w:r>
    </w:p>
    <w:p w:rsidR="00C0293A" w:rsidRDefault="00C0293A" w:rsidP="00C0293A">
      <w:pPr>
        <w:pStyle w:val="Prrafodelista"/>
        <w:numPr>
          <w:ilvl w:val="1"/>
          <w:numId w:val="24"/>
        </w:numPr>
        <w:jc w:val="both"/>
        <w:rPr>
          <w:rFonts w:ascii="Arial" w:hAnsi="Arial" w:cs="Arial"/>
          <w:sz w:val="20"/>
          <w:szCs w:val="20"/>
        </w:rPr>
      </w:pPr>
      <w:r>
        <w:rPr>
          <w:rFonts w:ascii="Arial" w:hAnsi="Arial" w:cs="Arial"/>
          <w:sz w:val="20"/>
          <w:szCs w:val="20"/>
        </w:rPr>
        <w:t>Unidades de apoyo</w:t>
      </w:r>
    </w:p>
    <w:p w:rsidR="00C0293A" w:rsidRPr="00F23D86" w:rsidRDefault="00C0293A" w:rsidP="00C0293A">
      <w:pPr>
        <w:pStyle w:val="Prrafodelista"/>
        <w:numPr>
          <w:ilvl w:val="1"/>
          <w:numId w:val="24"/>
        </w:numPr>
        <w:jc w:val="both"/>
        <w:rPr>
          <w:rFonts w:ascii="Arial" w:hAnsi="Arial" w:cs="Arial"/>
          <w:sz w:val="20"/>
          <w:szCs w:val="20"/>
        </w:rPr>
      </w:pPr>
      <w:r>
        <w:rPr>
          <w:rFonts w:ascii="Arial" w:hAnsi="Arial" w:cs="Arial"/>
          <w:sz w:val="20"/>
          <w:szCs w:val="20"/>
        </w:rPr>
        <w:t>Hospitales comunitarios</w:t>
      </w:r>
    </w:p>
    <w:p w:rsidR="00C0293A" w:rsidRPr="00F23D86" w:rsidRDefault="00C0293A" w:rsidP="00C0293A">
      <w:pPr>
        <w:pStyle w:val="Prrafodelista"/>
        <w:jc w:val="both"/>
        <w:rPr>
          <w:rFonts w:ascii="Arial" w:hAnsi="Arial" w:cs="Arial"/>
          <w:sz w:val="20"/>
          <w:szCs w:val="20"/>
        </w:rPr>
      </w:pPr>
    </w:p>
    <w:p w:rsidR="00C0293A" w:rsidRDefault="00C0293A" w:rsidP="00C0293A">
      <w:pPr>
        <w:pStyle w:val="Prrafodelista"/>
        <w:ind w:left="360"/>
        <w:jc w:val="both"/>
        <w:rPr>
          <w:rFonts w:ascii="Arial" w:hAnsi="Arial" w:cs="Arial"/>
          <w:b/>
          <w:sz w:val="20"/>
          <w:szCs w:val="20"/>
        </w:rPr>
      </w:pPr>
    </w:p>
    <w:p w:rsidR="00C0293A" w:rsidRDefault="00C0293A" w:rsidP="00C0293A">
      <w:pPr>
        <w:jc w:val="both"/>
        <w:rPr>
          <w:rFonts w:ascii="Arial" w:hAnsi="Arial" w:cs="Arial"/>
          <w:b/>
          <w:sz w:val="20"/>
          <w:szCs w:val="20"/>
        </w:rPr>
      </w:pPr>
      <w:r>
        <w:rPr>
          <w:rFonts w:ascii="Arial" w:hAnsi="Arial" w:cs="Arial"/>
          <w:b/>
          <w:sz w:val="20"/>
          <w:szCs w:val="20"/>
        </w:rPr>
        <w:t>V</w:t>
      </w:r>
      <w:r w:rsidR="004764FC">
        <w:rPr>
          <w:rFonts w:ascii="Arial" w:hAnsi="Arial" w:cs="Arial"/>
          <w:b/>
          <w:sz w:val="20"/>
          <w:szCs w:val="20"/>
        </w:rPr>
        <w:t>I</w:t>
      </w:r>
      <w:r w:rsidRPr="006E394E">
        <w:rPr>
          <w:rFonts w:ascii="Arial" w:hAnsi="Arial" w:cs="Arial"/>
          <w:b/>
          <w:sz w:val="20"/>
          <w:szCs w:val="20"/>
        </w:rPr>
        <w:t xml:space="preserve">.- </w:t>
      </w:r>
      <w:r>
        <w:rPr>
          <w:rFonts w:ascii="Arial" w:hAnsi="Arial" w:cs="Arial"/>
          <w:b/>
          <w:sz w:val="20"/>
          <w:szCs w:val="20"/>
        </w:rPr>
        <w:t>Órganos Interno de Control</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C0293A" w:rsidRDefault="00C0293A" w:rsidP="00C0293A">
      <w:pPr>
        <w:jc w:val="both"/>
        <w:rPr>
          <w:rFonts w:ascii="Arial" w:hAnsi="Arial" w:cs="Arial"/>
          <w:sz w:val="20"/>
          <w:szCs w:val="20"/>
        </w:rPr>
      </w:pPr>
    </w:p>
    <w:p w:rsidR="004764FC" w:rsidRPr="006E394E" w:rsidRDefault="004764FC" w:rsidP="00C0293A">
      <w:pPr>
        <w:jc w:val="both"/>
        <w:rPr>
          <w:rFonts w:ascii="Arial" w:hAnsi="Arial" w:cs="Arial"/>
          <w:sz w:val="20"/>
          <w:szCs w:val="20"/>
        </w:rPr>
      </w:pPr>
    </w:p>
    <w:p w:rsidR="00C0293A" w:rsidRDefault="00C0293A" w:rsidP="00C0293A">
      <w:pPr>
        <w:jc w:val="both"/>
        <w:rPr>
          <w:rFonts w:ascii="Arial" w:hAnsi="Arial" w:cs="Arial"/>
          <w:b/>
          <w:sz w:val="20"/>
          <w:szCs w:val="20"/>
        </w:rPr>
      </w:pPr>
      <w:r w:rsidRPr="006E394E">
        <w:rPr>
          <w:rFonts w:ascii="Arial" w:hAnsi="Arial" w:cs="Arial"/>
          <w:b/>
          <w:sz w:val="20"/>
          <w:szCs w:val="20"/>
        </w:rPr>
        <w:t>5. Bases de Preparación de los Estados Financieros:</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Se informará sobre:</w:t>
      </w: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C0293A" w:rsidRDefault="00C0293A" w:rsidP="00C0293A">
      <w:pPr>
        <w:jc w:val="both"/>
        <w:rPr>
          <w:rFonts w:ascii="Arial" w:hAnsi="Arial" w:cs="Arial"/>
          <w:sz w:val="20"/>
          <w:szCs w:val="20"/>
        </w:rPr>
      </w:pPr>
      <w:r w:rsidRPr="006E394E">
        <w:rPr>
          <w:rFonts w:ascii="Arial" w:hAnsi="Arial" w:cs="Arial"/>
          <w:sz w:val="20"/>
          <w:szCs w:val="20"/>
        </w:rPr>
        <w:t xml:space="preserve">Los Estados Financieros del Instituto de </w:t>
      </w:r>
      <w:r>
        <w:rPr>
          <w:rFonts w:ascii="Arial" w:hAnsi="Arial" w:cs="Arial"/>
          <w:sz w:val="20"/>
          <w:szCs w:val="20"/>
        </w:rPr>
        <w:t>S</w:t>
      </w:r>
      <w:r w:rsidRPr="006E394E">
        <w:rPr>
          <w:rFonts w:ascii="Arial" w:hAnsi="Arial" w:cs="Arial"/>
          <w:sz w:val="20"/>
          <w:szCs w:val="20"/>
        </w:rPr>
        <w:t>alud Pública del Estado de Guanaj</w:t>
      </w:r>
      <w:r>
        <w:rPr>
          <w:rFonts w:ascii="Arial" w:hAnsi="Arial" w:cs="Arial"/>
          <w:sz w:val="20"/>
          <w:szCs w:val="20"/>
        </w:rPr>
        <w:t>uato, correspondientes al primer</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IX.- Valuación.</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C0293A" w:rsidRDefault="00C0293A" w:rsidP="00C0293A">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C0293A" w:rsidRPr="006E394E" w:rsidRDefault="00C0293A" w:rsidP="00C0293A">
      <w:pPr>
        <w:jc w:val="both"/>
        <w:rPr>
          <w:rFonts w:ascii="Arial" w:hAnsi="Arial" w:cs="Arial"/>
          <w:sz w:val="20"/>
          <w:szCs w:val="20"/>
          <w:u w:val="single"/>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*Revelar las nuevas políticas de reconocimiento:</w:t>
      </w:r>
    </w:p>
    <w:p w:rsidR="00C0293A" w:rsidRPr="006E394E" w:rsidRDefault="00C0293A" w:rsidP="00C0293A">
      <w:pPr>
        <w:jc w:val="both"/>
        <w:rPr>
          <w:rFonts w:ascii="Arial" w:hAnsi="Arial" w:cs="Arial"/>
          <w:sz w:val="20"/>
          <w:szCs w:val="20"/>
        </w:rPr>
      </w:pPr>
      <w:r w:rsidRPr="006E394E">
        <w:rPr>
          <w:rFonts w:ascii="Arial" w:hAnsi="Arial" w:cs="Arial"/>
          <w:sz w:val="20"/>
          <w:szCs w:val="20"/>
        </w:rPr>
        <w:lastRenderedPageBreak/>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*Plan de implementación:</w:t>
      </w:r>
    </w:p>
    <w:p w:rsidR="00C0293A" w:rsidRPr="006E394E" w:rsidRDefault="00C0293A" w:rsidP="00C0293A">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C0293A" w:rsidRPr="006E394E" w:rsidRDefault="00C0293A" w:rsidP="00C0293A">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C0293A" w:rsidRDefault="00C0293A" w:rsidP="00C0293A">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6. Políticas de Contabilidad Significativas:</w:t>
      </w:r>
    </w:p>
    <w:p w:rsidR="00C0293A" w:rsidRPr="006E394E" w:rsidRDefault="00C0293A" w:rsidP="00C0293A">
      <w:pPr>
        <w:jc w:val="both"/>
        <w:rPr>
          <w:rFonts w:ascii="Arial" w:hAnsi="Arial" w:cs="Arial"/>
          <w:sz w:val="20"/>
          <w:szCs w:val="20"/>
        </w:rPr>
      </w:pPr>
      <w:r w:rsidRPr="006E394E">
        <w:rPr>
          <w:rFonts w:ascii="Arial" w:hAnsi="Arial" w:cs="Arial"/>
          <w:sz w:val="20"/>
          <w:szCs w:val="20"/>
        </w:rPr>
        <w:t>Se informará sobre:</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C0293A" w:rsidRDefault="00C0293A" w:rsidP="00C0293A">
      <w:pPr>
        <w:jc w:val="both"/>
        <w:rPr>
          <w:rFonts w:ascii="Arial" w:hAnsi="Arial" w:cs="Arial"/>
          <w:b/>
          <w:sz w:val="20"/>
          <w:szCs w:val="20"/>
        </w:rPr>
      </w:pPr>
    </w:p>
    <w:p w:rsidR="00C0293A" w:rsidRDefault="00C0293A" w:rsidP="00C0293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Reservas registradas en su contabilidad.</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w:t>
      </w:r>
      <w:r w:rsidRPr="006E394E">
        <w:rPr>
          <w:rFonts w:ascii="Arial" w:hAnsi="Arial" w:cs="Arial"/>
          <w:sz w:val="20"/>
          <w:szCs w:val="20"/>
        </w:rPr>
        <w:lastRenderedPageBreak/>
        <w:t xml:space="preserve">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5A64CF">
        <w:rPr>
          <w:rFonts w:ascii="Arial" w:hAnsi="Arial" w:cs="Arial"/>
          <w:sz w:val="20"/>
          <w:szCs w:val="20"/>
        </w:rPr>
        <w:t>Así mismo, se modifica la estructura de las cuentas bancarias para el presente ejercicio.</w:t>
      </w:r>
    </w:p>
    <w:p w:rsidR="00C0293A" w:rsidRDefault="00C0293A" w:rsidP="00C0293A">
      <w:pPr>
        <w:jc w:val="both"/>
        <w:rPr>
          <w:rFonts w:ascii="Arial" w:hAnsi="Arial" w:cs="Arial"/>
          <w:sz w:val="20"/>
          <w:szCs w:val="20"/>
        </w:rPr>
      </w:pPr>
    </w:p>
    <w:p w:rsidR="00C0293A" w:rsidRPr="00DE64AF" w:rsidRDefault="00C0293A" w:rsidP="00C0293A">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C0293A" w:rsidRPr="00DE64AF" w:rsidRDefault="00C0293A" w:rsidP="00C0293A">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C0293A" w:rsidRPr="00DE64AF" w:rsidRDefault="00C0293A" w:rsidP="00C0293A">
      <w:pPr>
        <w:jc w:val="both"/>
        <w:rPr>
          <w:rFonts w:ascii="Arial" w:hAnsi="Arial" w:cs="Arial"/>
          <w:sz w:val="20"/>
          <w:szCs w:val="20"/>
        </w:rPr>
      </w:pPr>
      <w:r w:rsidRPr="00DE64AF">
        <w:rPr>
          <w:rFonts w:ascii="Arial" w:hAnsi="Arial" w:cs="Arial"/>
          <w:sz w:val="20"/>
          <w:szCs w:val="20"/>
        </w:rPr>
        <w:t xml:space="preserve"> </w:t>
      </w:r>
    </w:p>
    <w:p w:rsidR="00C0293A" w:rsidRPr="00DE64AF" w:rsidRDefault="00C0293A" w:rsidP="00C0293A">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C0293A" w:rsidRDefault="00C0293A" w:rsidP="00C0293A">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C0293A" w:rsidRDefault="00C0293A" w:rsidP="00C0293A">
      <w:pPr>
        <w:jc w:val="both"/>
        <w:rPr>
          <w:rFonts w:ascii="Arial" w:hAnsi="Arial" w:cs="Arial"/>
          <w:sz w:val="20"/>
          <w:szCs w:val="20"/>
        </w:rPr>
      </w:pPr>
    </w:p>
    <w:p w:rsidR="0020107A" w:rsidRPr="006E394E" w:rsidRDefault="0020107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C0293A" w:rsidRPr="006E394E" w:rsidRDefault="00C0293A" w:rsidP="00C0293A">
      <w:pPr>
        <w:jc w:val="both"/>
        <w:rPr>
          <w:rFonts w:ascii="Arial" w:hAnsi="Arial" w:cs="Arial"/>
          <w:sz w:val="20"/>
          <w:szCs w:val="20"/>
        </w:rPr>
      </w:pPr>
      <w:r w:rsidRPr="006E394E">
        <w:rPr>
          <w:rFonts w:ascii="Arial" w:hAnsi="Arial" w:cs="Arial"/>
          <w:sz w:val="20"/>
          <w:szCs w:val="20"/>
        </w:rPr>
        <w:t>Se informará sobre:</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8. Reporte Analítico del Activo:</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Debe mostrar la siguiente información:</w:t>
      </w: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C0293A" w:rsidRPr="006E394E" w:rsidRDefault="00C0293A" w:rsidP="00C0293A">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C0293A" w:rsidRPr="00FE4E32" w:rsidTr="00C0293A">
        <w:trPr>
          <w:trHeight w:val="900"/>
        </w:trPr>
        <w:tc>
          <w:tcPr>
            <w:tcW w:w="1128" w:type="dxa"/>
            <w:shd w:val="clear" w:color="000000" w:fill="BFBFBF"/>
            <w:vAlign w:val="center"/>
            <w:hideMark/>
          </w:tcPr>
          <w:p w:rsidR="00C0293A" w:rsidRPr="00FE4E32" w:rsidRDefault="00C0293A" w:rsidP="00C0293A">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lastRenderedPageBreak/>
              <w:t>Tipo de Bien</w:t>
            </w:r>
          </w:p>
        </w:tc>
        <w:tc>
          <w:tcPr>
            <w:tcW w:w="1167" w:type="dxa"/>
            <w:shd w:val="clear" w:color="000000" w:fill="BFBFBF"/>
            <w:vAlign w:val="center"/>
            <w:hideMark/>
          </w:tcPr>
          <w:p w:rsidR="00C0293A" w:rsidRPr="00FE4E32" w:rsidRDefault="00C0293A" w:rsidP="00C0293A">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C0293A" w:rsidRPr="00FE4E32" w:rsidRDefault="00C0293A" w:rsidP="00C0293A">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C0293A" w:rsidRPr="00FE4E32" w:rsidRDefault="00C0293A" w:rsidP="00C0293A">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C0293A" w:rsidRPr="00FE4E32" w:rsidRDefault="00C0293A" w:rsidP="00C0293A">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C0293A" w:rsidRPr="00FE4E32" w:rsidRDefault="00C0293A" w:rsidP="00C0293A">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C0293A" w:rsidRPr="00FE4E32" w:rsidRDefault="00C0293A" w:rsidP="00C0293A">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N/A</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C0293A" w:rsidRPr="00FE4E32" w:rsidRDefault="00C0293A" w:rsidP="00C0293A">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N/A</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0293A" w:rsidRPr="00FE4E32" w:rsidTr="00C0293A">
        <w:trPr>
          <w:trHeight w:val="225"/>
        </w:trPr>
        <w:tc>
          <w:tcPr>
            <w:tcW w:w="1128" w:type="dxa"/>
            <w:shd w:val="clear" w:color="auto" w:fill="auto"/>
            <w:noWrap/>
            <w:vAlign w:val="bottom"/>
            <w:hideMark/>
          </w:tcPr>
          <w:p w:rsidR="00C0293A" w:rsidRPr="00FE4E32" w:rsidRDefault="00C0293A" w:rsidP="00C0293A">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C0293A" w:rsidRPr="00FE4E32" w:rsidRDefault="00C0293A" w:rsidP="00C0293A">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0293A" w:rsidRPr="00FE4E32" w:rsidRDefault="00C0293A" w:rsidP="00C0293A">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C0293A" w:rsidRDefault="00C0293A" w:rsidP="00C0293A">
      <w:pPr>
        <w:jc w:val="both"/>
        <w:rPr>
          <w:rFonts w:cs="Calibri"/>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bienes inmovilizados.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w:t>
      </w:r>
      <w:r>
        <w:rPr>
          <w:rFonts w:ascii="Arial" w:hAnsi="Arial" w:cs="Arial"/>
          <w:sz w:val="20"/>
          <w:szCs w:val="20"/>
        </w:rPr>
        <w:t>A</w:t>
      </w:r>
      <w:r w:rsidRPr="006E394E">
        <w:rPr>
          <w:rFonts w:ascii="Arial" w:hAnsi="Arial" w:cs="Arial"/>
          <w:sz w:val="20"/>
          <w:szCs w:val="20"/>
        </w:rPr>
        <w:t>ctivos; planeación con el objetivo de que el ente los utilice de manera más efectiva:</w:t>
      </w:r>
    </w:p>
    <w:p w:rsidR="00C0293A" w:rsidRPr="006E394E" w:rsidRDefault="00C0293A" w:rsidP="00C0293A">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C0293A" w:rsidRPr="006E394E" w:rsidRDefault="00C0293A" w:rsidP="00C0293A">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Inversiones en valores.</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Patrimonio de </w:t>
      </w:r>
      <w:r>
        <w:rPr>
          <w:rFonts w:ascii="Arial" w:hAnsi="Arial" w:cs="Arial"/>
          <w:sz w:val="20"/>
          <w:szCs w:val="20"/>
        </w:rPr>
        <w:t>o</w:t>
      </w:r>
      <w:r w:rsidRPr="006E394E">
        <w:rPr>
          <w:rFonts w:ascii="Arial" w:hAnsi="Arial" w:cs="Arial"/>
          <w:sz w:val="20"/>
          <w:szCs w:val="20"/>
        </w:rPr>
        <w:t xml:space="preserve">rganismos </w:t>
      </w:r>
      <w:r>
        <w:rPr>
          <w:rFonts w:ascii="Arial" w:hAnsi="Arial" w:cs="Arial"/>
          <w:sz w:val="20"/>
          <w:szCs w:val="20"/>
        </w:rPr>
        <w:t>d</w:t>
      </w:r>
      <w:r w:rsidRPr="006E394E">
        <w:rPr>
          <w:rFonts w:ascii="Arial" w:hAnsi="Arial" w:cs="Arial"/>
          <w:sz w:val="20"/>
          <w:szCs w:val="20"/>
        </w:rPr>
        <w:t xml:space="preserve">escentralizados de </w:t>
      </w:r>
      <w:r>
        <w:rPr>
          <w:rFonts w:ascii="Arial" w:hAnsi="Arial" w:cs="Arial"/>
          <w:sz w:val="20"/>
          <w:szCs w:val="20"/>
        </w:rPr>
        <w:t>c</w:t>
      </w:r>
      <w:r w:rsidRPr="006E394E">
        <w:rPr>
          <w:rFonts w:ascii="Arial" w:hAnsi="Arial" w:cs="Arial"/>
          <w:sz w:val="20"/>
          <w:szCs w:val="20"/>
        </w:rPr>
        <w:t xml:space="preserve">ontrol </w:t>
      </w:r>
      <w:r>
        <w:rPr>
          <w:rFonts w:ascii="Arial" w:hAnsi="Arial" w:cs="Arial"/>
          <w:sz w:val="20"/>
          <w:szCs w:val="20"/>
        </w:rPr>
        <w:t>p</w:t>
      </w:r>
      <w:r w:rsidRPr="006E394E">
        <w:rPr>
          <w:rFonts w:ascii="Arial" w:hAnsi="Arial" w:cs="Arial"/>
          <w:sz w:val="20"/>
          <w:szCs w:val="20"/>
        </w:rPr>
        <w:t xml:space="preserve">resupuestario </w:t>
      </w:r>
      <w:r>
        <w:rPr>
          <w:rFonts w:ascii="Arial" w:hAnsi="Arial" w:cs="Arial"/>
          <w:sz w:val="20"/>
          <w:szCs w:val="20"/>
        </w:rPr>
        <w:t>i</w:t>
      </w:r>
      <w:r w:rsidRPr="006E394E">
        <w:rPr>
          <w:rFonts w:ascii="Arial" w:hAnsi="Arial" w:cs="Arial"/>
          <w:sz w:val="20"/>
          <w:szCs w:val="20"/>
        </w:rPr>
        <w:t>ndirecto:</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9. Fideicomisos, Mandatos y Análogos:</w:t>
      </w:r>
    </w:p>
    <w:p w:rsidR="00C0293A" w:rsidRPr="006E394E" w:rsidRDefault="00C0293A" w:rsidP="00C0293A">
      <w:pPr>
        <w:jc w:val="both"/>
        <w:rPr>
          <w:rFonts w:ascii="Arial" w:hAnsi="Arial" w:cs="Arial"/>
          <w:sz w:val="20"/>
          <w:szCs w:val="20"/>
        </w:rPr>
      </w:pPr>
      <w:r w:rsidRPr="006E394E">
        <w:rPr>
          <w:rFonts w:ascii="Arial" w:hAnsi="Arial" w:cs="Arial"/>
          <w:sz w:val="20"/>
          <w:szCs w:val="20"/>
        </w:rPr>
        <w:t>Se deberá informar:</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C0293A"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10. Reporte de la Recaudación:</w:t>
      </w:r>
    </w:p>
    <w:p w:rsidR="00C0293A" w:rsidRPr="006E394E" w:rsidRDefault="00C0293A" w:rsidP="00C0293A">
      <w:pPr>
        <w:jc w:val="both"/>
        <w:rPr>
          <w:rFonts w:ascii="Arial" w:hAnsi="Arial" w:cs="Arial"/>
          <w:sz w:val="20"/>
          <w:szCs w:val="20"/>
        </w:rPr>
      </w:pPr>
    </w:p>
    <w:p w:rsidR="00C0293A" w:rsidRDefault="00C0293A" w:rsidP="00C0293A">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C0293A" w:rsidRDefault="00C0293A" w:rsidP="00C0293A">
      <w:pPr>
        <w:pBdr>
          <w:bottom w:val="single" w:sz="12" w:space="0" w:color="auto"/>
        </w:pBdr>
        <w:jc w:val="both"/>
        <w:rPr>
          <w:rFonts w:ascii="Arial" w:hAnsi="Arial" w:cs="Arial"/>
          <w:sz w:val="20"/>
          <w:szCs w:val="20"/>
        </w:rPr>
      </w:pPr>
    </w:p>
    <w:p w:rsidR="00C0293A" w:rsidRDefault="00C0293A" w:rsidP="00C0293A">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C0293A" w:rsidRDefault="00C0293A" w:rsidP="00C0293A">
      <w:pPr>
        <w:pBdr>
          <w:bottom w:val="single" w:sz="12" w:space="0" w:color="auto"/>
        </w:pBdr>
        <w:jc w:val="both"/>
        <w:rPr>
          <w:rFonts w:ascii="Arial" w:hAnsi="Arial" w:cs="Arial"/>
          <w:sz w:val="20"/>
          <w:szCs w:val="20"/>
        </w:rPr>
      </w:pPr>
    </w:p>
    <w:p w:rsidR="00C0293A" w:rsidRDefault="00C0293A" w:rsidP="00C0293A">
      <w:pPr>
        <w:pBdr>
          <w:bottom w:val="single" w:sz="12" w:space="0" w:color="auto"/>
        </w:pBdr>
        <w:jc w:val="both"/>
        <w:rPr>
          <w:rFonts w:ascii="Arial" w:hAnsi="Arial" w:cs="Arial"/>
          <w:sz w:val="20"/>
          <w:szCs w:val="20"/>
        </w:rPr>
      </w:pPr>
      <w:r w:rsidRPr="009E4E08">
        <w:rPr>
          <w:noProof/>
        </w:rPr>
        <w:lastRenderedPageBreak/>
        <w:drawing>
          <wp:inline distT="0" distB="0" distL="0" distR="0" wp14:anchorId="366DDEFD" wp14:editId="3010572B">
            <wp:extent cx="8690244" cy="218724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6034" cy="2188701"/>
                    </a:xfrm>
                    <a:prstGeom prst="rect">
                      <a:avLst/>
                    </a:prstGeom>
                    <a:noFill/>
                    <a:ln>
                      <a:noFill/>
                    </a:ln>
                  </pic:spPr>
                </pic:pic>
              </a:graphicData>
            </a:graphic>
          </wp:inline>
        </w:drawing>
      </w:r>
    </w:p>
    <w:p w:rsidR="00C0293A" w:rsidRDefault="00C0293A" w:rsidP="00C0293A">
      <w:pPr>
        <w:pBdr>
          <w:bottom w:val="single" w:sz="12" w:space="0" w:color="auto"/>
        </w:pBdr>
        <w:jc w:val="both"/>
        <w:rPr>
          <w:rFonts w:ascii="Arial" w:hAnsi="Arial" w:cs="Arial"/>
          <w:sz w:val="20"/>
          <w:szCs w:val="20"/>
        </w:rPr>
      </w:pPr>
    </w:p>
    <w:p w:rsidR="00C0293A" w:rsidRDefault="00C0293A" w:rsidP="00C0293A">
      <w:pPr>
        <w:pBdr>
          <w:bottom w:val="single" w:sz="12" w:space="0" w:color="auto"/>
        </w:pBd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C0293A" w:rsidRDefault="00C0293A" w:rsidP="00C0293A">
      <w:pPr>
        <w:pBdr>
          <w:bottom w:val="single" w:sz="12" w:space="0" w:color="auto"/>
        </w:pBdr>
        <w:jc w:val="both"/>
        <w:rPr>
          <w:rFonts w:ascii="Arial" w:hAnsi="Arial" w:cs="Arial"/>
          <w:sz w:val="20"/>
          <w:szCs w:val="20"/>
        </w:rPr>
      </w:pPr>
    </w:p>
    <w:p w:rsidR="00C0293A" w:rsidRDefault="00C0293A" w:rsidP="00C0293A">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C0293A" w:rsidRDefault="00C0293A" w:rsidP="00C0293A">
      <w:pPr>
        <w:pBdr>
          <w:bottom w:val="single" w:sz="12" w:space="0" w:color="auto"/>
        </w:pBdr>
        <w:jc w:val="both"/>
        <w:rPr>
          <w:rFonts w:ascii="Arial" w:hAnsi="Arial" w:cs="Arial"/>
          <w:sz w:val="20"/>
          <w:szCs w:val="20"/>
        </w:rPr>
      </w:pPr>
      <w:r w:rsidRPr="009E4E08">
        <w:rPr>
          <w:noProof/>
        </w:rPr>
        <w:drawing>
          <wp:inline distT="0" distB="0" distL="0" distR="0" wp14:anchorId="7DECDC7E" wp14:editId="02D3BFBE">
            <wp:extent cx="8690610" cy="2132881"/>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0610" cy="2132881"/>
                    </a:xfrm>
                    <a:prstGeom prst="rect">
                      <a:avLst/>
                    </a:prstGeom>
                    <a:noFill/>
                    <a:ln>
                      <a:noFill/>
                    </a:ln>
                  </pic:spPr>
                </pic:pic>
              </a:graphicData>
            </a:graphic>
          </wp:inline>
        </w:drawing>
      </w:r>
    </w:p>
    <w:p w:rsidR="00C0293A" w:rsidRDefault="00C0293A" w:rsidP="00C0293A">
      <w:pPr>
        <w:jc w:val="both"/>
        <w:rPr>
          <w:rFonts w:ascii="Arial" w:hAnsi="Arial" w:cs="Arial"/>
          <w:b/>
          <w:sz w:val="20"/>
          <w:szCs w:val="20"/>
        </w:rPr>
      </w:pPr>
    </w:p>
    <w:p w:rsidR="00C0293A" w:rsidRDefault="00C0293A" w:rsidP="00C0293A">
      <w:pPr>
        <w:jc w:val="both"/>
        <w:rPr>
          <w:rFonts w:ascii="Arial" w:hAnsi="Arial" w:cs="Arial"/>
          <w:b/>
          <w:sz w:val="20"/>
          <w:szCs w:val="20"/>
        </w:rPr>
      </w:pP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C0293A" w:rsidRPr="006E394E" w:rsidRDefault="00C0293A" w:rsidP="00C0293A">
      <w:pPr>
        <w:jc w:val="both"/>
        <w:rPr>
          <w:rFonts w:ascii="Arial" w:hAnsi="Arial" w:cs="Arial"/>
          <w:sz w:val="20"/>
          <w:szCs w:val="20"/>
        </w:rPr>
      </w:pPr>
      <w:r w:rsidRPr="006E394E">
        <w:rPr>
          <w:rFonts w:ascii="Arial" w:hAnsi="Arial" w:cs="Arial"/>
          <w:sz w:val="20"/>
          <w:szCs w:val="20"/>
        </w:rPr>
        <w:t>El Instituto no está facultado para contraer deuda.</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C0293A" w:rsidRPr="006E394E" w:rsidRDefault="00C0293A" w:rsidP="00C0293A">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C0293A" w:rsidRDefault="00C0293A" w:rsidP="00C0293A">
      <w:pPr>
        <w:jc w:val="both"/>
        <w:rPr>
          <w:rFonts w:ascii="Arial" w:hAnsi="Arial" w:cs="Arial"/>
          <w:b/>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12. Calificaciones otorgadas:</w:t>
      </w:r>
    </w:p>
    <w:p w:rsidR="00C0293A" w:rsidRPr="006E394E" w:rsidRDefault="00C0293A" w:rsidP="00C0293A">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C0293A" w:rsidRPr="006E394E" w:rsidRDefault="00C0293A" w:rsidP="00C0293A">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13. Proceso de Mejora:</w:t>
      </w:r>
    </w:p>
    <w:p w:rsidR="00C0293A" w:rsidRPr="006E394E" w:rsidRDefault="00C0293A" w:rsidP="00C0293A">
      <w:pPr>
        <w:jc w:val="both"/>
        <w:rPr>
          <w:rFonts w:ascii="Arial" w:hAnsi="Arial" w:cs="Arial"/>
          <w:sz w:val="20"/>
          <w:szCs w:val="20"/>
        </w:rPr>
      </w:pPr>
      <w:r w:rsidRPr="006E394E">
        <w:rPr>
          <w:rFonts w:ascii="Arial" w:hAnsi="Arial" w:cs="Arial"/>
          <w:sz w:val="20"/>
          <w:szCs w:val="20"/>
        </w:rPr>
        <w:t>Se informará de:</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C0293A" w:rsidRPr="006E394E" w:rsidRDefault="00C0293A" w:rsidP="00C0293A">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C0293A" w:rsidRPr="006E394E" w:rsidRDefault="00C0293A" w:rsidP="00C0293A">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C0293A" w:rsidRPr="006E394E" w:rsidRDefault="00C0293A" w:rsidP="00C0293A">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C0293A" w:rsidRPr="006E394E" w:rsidRDefault="00C0293A" w:rsidP="00C0293A">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C0293A" w:rsidRPr="006E394E" w:rsidRDefault="00C0293A" w:rsidP="00C0293A">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C0293A" w:rsidRPr="006E394E" w:rsidRDefault="00C0293A" w:rsidP="00C0293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C0293A" w:rsidRPr="006E394E" w:rsidRDefault="00C0293A" w:rsidP="00C0293A">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14. Información por Segmentos:</w:t>
      </w:r>
    </w:p>
    <w:p w:rsidR="00C0293A" w:rsidRDefault="00C0293A" w:rsidP="00C0293A">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C0293A" w:rsidRPr="006E394E" w:rsidRDefault="00C0293A" w:rsidP="00C0293A">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15. Eventos Posteriores al Cierre:</w:t>
      </w:r>
    </w:p>
    <w:p w:rsidR="00C0293A" w:rsidRDefault="00C0293A" w:rsidP="00C0293A">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C0293A" w:rsidRPr="006E394E" w:rsidRDefault="00C0293A" w:rsidP="00C0293A">
      <w:pPr>
        <w:jc w:val="both"/>
        <w:rPr>
          <w:rFonts w:ascii="Arial" w:hAnsi="Arial" w:cs="Arial"/>
          <w:sz w:val="20"/>
          <w:szCs w:val="20"/>
        </w:rPr>
      </w:pPr>
      <w:r w:rsidRPr="0022323F">
        <w:rPr>
          <w:rFonts w:ascii="Arial" w:hAnsi="Arial" w:cs="Arial"/>
          <w:sz w:val="20"/>
          <w:szCs w:val="20"/>
        </w:rPr>
        <w:t xml:space="preserve">El Instituto realizó inversiones en la compra de equipo e insumos médicos que permiten otorgar servicios de salud a </w:t>
      </w:r>
      <w:r>
        <w:rPr>
          <w:rFonts w:ascii="Arial" w:hAnsi="Arial" w:cs="Arial"/>
          <w:sz w:val="20"/>
          <w:szCs w:val="20"/>
        </w:rPr>
        <w:t xml:space="preserve">la población abierta, </w:t>
      </w:r>
      <w:r w:rsidRPr="0022323F">
        <w:rPr>
          <w:rFonts w:ascii="Arial" w:hAnsi="Arial" w:cs="Arial"/>
          <w:sz w:val="20"/>
          <w:szCs w:val="20"/>
        </w:rPr>
        <w:t>con los recursos disponibles</w:t>
      </w:r>
      <w:r>
        <w:rPr>
          <w:rFonts w:ascii="Arial" w:hAnsi="Arial" w:cs="Arial"/>
          <w:sz w:val="20"/>
          <w:szCs w:val="20"/>
        </w:rPr>
        <w:t>.</w:t>
      </w: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16. Partes Relacionadas:</w:t>
      </w:r>
    </w:p>
    <w:p w:rsidR="00C0293A" w:rsidRDefault="00C0293A" w:rsidP="00C0293A">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C0293A" w:rsidRDefault="00C0293A" w:rsidP="00C0293A">
      <w:pPr>
        <w:jc w:val="both"/>
        <w:rPr>
          <w:rFonts w:ascii="Arial" w:hAnsi="Arial" w:cs="Arial"/>
          <w:sz w:val="20"/>
          <w:szCs w:val="20"/>
        </w:rPr>
      </w:pPr>
    </w:p>
    <w:p w:rsidR="00C0293A" w:rsidRPr="006E394E" w:rsidRDefault="00C0293A" w:rsidP="00C0293A">
      <w:pPr>
        <w:jc w:val="both"/>
        <w:rPr>
          <w:rFonts w:ascii="Arial" w:hAnsi="Arial" w:cs="Arial"/>
          <w:sz w:val="20"/>
          <w:szCs w:val="20"/>
        </w:rPr>
      </w:pPr>
    </w:p>
    <w:p w:rsidR="00C0293A" w:rsidRPr="006E394E" w:rsidRDefault="00C0293A" w:rsidP="00C0293A">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C0293A" w:rsidRDefault="00C0293A" w:rsidP="00C0293A">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C0293A" w:rsidRPr="006E394E" w:rsidRDefault="00C0293A" w:rsidP="00C0293A">
      <w:pPr>
        <w:jc w:val="both"/>
        <w:rPr>
          <w:rFonts w:ascii="Arial" w:hAnsi="Arial" w:cs="Arial"/>
          <w:sz w:val="20"/>
          <w:szCs w:val="20"/>
        </w:rPr>
      </w:pPr>
    </w:p>
    <w:p w:rsidR="00C0293A" w:rsidRDefault="00C0293A" w:rsidP="00C0293A">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C0293A" w:rsidRDefault="00C0293A" w:rsidP="00C0293A">
      <w:pPr>
        <w:jc w:val="both"/>
        <w:rPr>
          <w:rFonts w:ascii="Arial" w:hAnsi="Arial" w:cs="Arial"/>
          <w:sz w:val="20"/>
          <w:szCs w:val="20"/>
        </w:rPr>
      </w:pPr>
    </w:p>
    <w:p w:rsidR="00C0293A" w:rsidRPr="00A513A2" w:rsidRDefault="00C0293A" w:rsidP="00C0293A">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C0293A" w:rsidRDefault="00C0293A" w:rsidP="00C0293A">
      <w:pPr>
        <w:jc w:val="both"/>
        <w:rPr>
          <w:rFonts w:cs="Calibri"/>
          <w:u w:val="single"/>
        </w:rPr>
      </w:pPr>
    </w:p>
    <w:p w:rsidR="00C0293A" w:rsidRDefault="00C0293A" w:rsidP="00C0293A">
      <w:pPr>
        <w:jc w:val="both"/>
        <w:rPr>
          <w:rFonts w:cs="Calibri"/>
          <w:u w:val="single"/>
        </w:rPr>
      </w:pPr>
    </w:p>
    <w:bookmarkEnd w:id="7"/>
    <w:p w:rsidR="00781168" w:rsidRDefault="00781168" w:rsidP="00925026">
      <w:pPr>
        <w:tabs>
          <w:tab w:val="left" w:pos="6804"/>
        </w:tabs>
        <w:jc w:val="center"/>
        <w:rPr>
          <w:rStyle w:val="Hipervnculo"/>
          <w:b/>
          <w:sz w:val="28"/>
          <w:szCs w:val="28"/>
        </w:rPr>
      </w:pPr>
    </w:p>
    <w:sectPr w:rsidR="00781168" w:rsidSect="00862F52">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FA" w:rsidRDefault="00E064FA" w:rsidP="00EA5418">
      <w:r>
        <w:separator/>
      </w:r>
    </w:p>
  </w:endnote>
  <w:endnote w:type="continuationSeparator" w:id="0">
    <w:p w:rsidR="00E064FA" w:rsidRDefault="00E064FA"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3A" w:rsidRPr="001E3B9D" w:rsidRDefault="00C0293A"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E98C7" id="Line 2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3A" w:rsidRPr="00584484" w:rsidRDefault="00C0293A"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3600"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842B1" id="Line 27"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8GUrh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FA" w:rsidRDefault="00E064FA" w:rsidP="00EA5418">
      <w:r>
        <w:separator/>
      </w:r>
    </w:p>
  </w:footnote>
  <w:footnote w:type="continuationSeparator" w:id="0">
    <w:p w:rsidR="00E064FA" w:rsidRDefault="00E064FA"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3A" w:rsidRDefault="00C0293A"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1941830</wp:posOffset>
              </wp:positionH>
              <wp:positionV relativeFrom="paragraph">
                <wp:posOffset>-265430</wp:posOffset>
              </wp:positionV>
              <wp:extent cx="2767330" cy="427355"/>
              <wp:effectExtent l="0" t="0" r="0" b="0"/>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3A" w:rsidRPr="00584484" w:rsidRDefault="00C0293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C0293A" w:rsidRPr="00410C0A" w:rsidRDefault="00C0293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C0293A" w:rsidRPr="00584484" w:rsidRDefault="00C0293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mviAIAABc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1Lbpr4gCAAAXBQAADgAAAAAAAAAAAAAAAAAuAgAAZHJzL2Uyb0RvYy54bWxQSwECLQAUAAYA&#10;CAAAACEAVpUPzd8AAAAKAQAADwAAAAAAAAAAAAAAAADiBAAAZHJzL2Rvd25yZXYueG1sUEsFBgAA&#10;AAAEAAQA8wAAAO4FAAAAAA==&#10;" stroked="f">
              <v:textbox>
                <w:txbxContent>
                  <w:p w:rsidR="00C0293A" w:rsidRPr="00584484" w:rsidRDefault="00C0293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C0293A" w:rsidRPr="00410C0A" w:rsidRDefault="00C0293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C0293A" w:rsidRPr="00584484" w:rsidRDefault="00C0293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4657725</wp:posOffset>
              </wp:positionH>
              <wp:positionV relativeFrom="paragraph">
                <wp:posOffset>-195580</wp:posOffset>
              </wp:positionV>
              <wp:extent cx="838835" cy="328930"/>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3A" w:rsidRPr="00E9097D" w:rsidRDefault="00C0293A"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" stroked="f">
              <v:textbox>
                <w:txbxContent>
                  <w:p w:rsidR="00C0293A" w:rsidRPr="00E9097D" w:rsidRDefault="00C0293A"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2024</w:t>
                    </w:r>
                  </w:p>
                </w:txbxContent>
              </v:textbox>
            </v:shape>
          </w:pict>
        </mc:Fallback>
      </mc:AlternateContent>
    </w:r>
    <w:r>
      <w:rPr>
        <w:rFonts w:ascii="Soberana Sans Light" w:hAnsi="Soberana Sans Light"/>
        <w:noProof/>
        <w:lang w:val="es-MX" w:eastAsia="es-MX"/>
      </w:rPr>
      <mc:AlternateContent>
        <mc:Choice Requires="wps">
          <w:drawing>
            <wp:anchor distT="4294967295" distB="4294967295" distL="114300" distR="114300" simplePos="0" relativeHeight="251663360" behindDoc="0" locked="0" layoutInCell="1" allowOverlap="1">
              <wp:simplePos x="0" y="0"/>
              <wp:positionH relativeFrom="column">
                <wp:posOffset>-676275</wp:posOffset>
              </wp:positionH>
              <wp:positionV relativeFrom="paragraph">
                <wp:posOffset>210819</wp:posOffset>
              </wp:positionV>
              <wp:extent cx="10029825" cy="0"/>
              <wp:effectExtent l="0" t="0" r="0" b="0"/>
              <wp:wrapNone/>
              <wp:docPr id="1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9C3489" id="4 Conector recto"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g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D9GcB8iAgAAPw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3A" w:rsidRPr="007D16CA" w:rsidRDefault="00C0293A"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213359</wp:posOffset>
              </wp:positionV>
              <wp:extent cx="10065385"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B3596" id="Lin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J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Z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DP5WIJMwIAAHAEAAAOAAAAAAAAAAAAAAAA&#10;AC4CAABkcnMvZTJvRG9jLnhtbFBLAQItABQABgAIAAAAIQC5xaVd3wAAAAsBAAAPAAAAAAAAAAAA&#10;AAAAAI0EAABkcnMvZG93bnJldi54bWxQSwUGAAAAAAQABADzAAAAmQUAAAAA&#10;" strokecolor="#4579b8 [3044]" strokeweight="1.5pt"/>
          </w:pict>
        </mc:Fallback>
      </mc:AlternateContent>
    </w:r>
    <w:r>
      <w:rPr>
        <w:rFonts w:ascii="Arial" w:hAnsi="Arial" w:cs="Arial"/>
        <w:color w:val="808080" w:themeColor="background1" w:themeShade="80"/>
        <w:sz w:val="20"/>
        <w:szCs w:val="20"/>
      </w:rPr>
      <w:t>INSTITUTO DE SALUD PÚBLICA DEL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74A7F"/>
    <w:multiLevelType w:val="multilevel"/>
    <w:tmpl w:val="1D1063B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E60E04"/>
    <w:multiLevelType w:val="multilevel"/>
    <w:tmpl w:val="594C19B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D9256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23378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2"/>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11"/>
  </w:num>
  <w:num w:numId="9">
    <w:abstractNumId w:val="6"/>
  </w:num>
  <w:num w:numId="10">
    <w:abstractNumId w:val="14"/>
  </w:num>
  <w:num w:numId="11">
    <w:abstractNumId w:val="16"/>
  </w:num>
  <w:num w:numId="12">
    <w:abstractNumId w:val="20"/>
  </w:num>
  <w:num w:numId="13">
    <w:abstractNumId w:val="17"/>
  </w:num>
  <w:num w:numId="14">
    <w:abstractNumId w:val="4"/>
  </w:num>
  <w:num w:numId="15">
    <w:abstractNumId w:val="15"/>
  </w:num>
  <w:num w:numId="16">
    <w:abstractNumId w:val="3"/>
  </w:num>
  <w:num w:numId="17">
    <w:abstractNumId w:val="22"/>
  </w:num>
  <w:num w:numId="18">
    <w:abstractNumId w:val="10"/>
  </w:num>
  <w:num w:numId="19">
    <w:abstractNumId w:val="8"/>
  </w:num>
  <w:num w:numId="20">
    <w:abstractNumId w:val="7"/>
  </w:num>
  <w:num w:numId="21">
    <w:abstractNumId w:val="1"/>
  </w:num>
  <w:num w:numId="22">
    <w:abstractNumId w:val="2"/>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06DA1"/>
    <w:rsid w:val="000164DB"/>
    <w:rsid w:val="00026D17"/>
    <w:rsid w:val="00030434"/>
    <w:rsid w:val="00031801"/>
    <w:rsid w:val="00033FEC"/>
    <w:rsid w:val="000355E9"/>
    <w:rsid w:val="00037FE0"/>
    <w:rsid w:val="00040466"/>
    <w:rsid w:val="0004218E"/>
    <w:rsid w:val="00045203"/>
    <w:rsid w:val="0005062F"/>
    <w:rsid w:val="00051ECA"/>
    <w:rsid w:val="00054908"/>
    <w:rsid w:val="00056042"/>
    <w:rsid w:val="000616E8"/>
    <w:rsid w:val="00061A86"/>
    <w:rsid w:val="00062DBE"/>
    <w:rsid w:val="0006667D"/>
    <w:rsid w:val="00070FD9"/>
    <w:rsid w:val="000733A4"/>
    <w:rsid w:val="00094277"/>
    <w:rsid w:val="000963D2"/>
    <w:rsid w:val="00096A20"/>
    <w:rsid w:val="00097AB0"/>
    <w:rsid w:val="000A4BED"/>
    <w:rsid w:val="000A5070"/>
    <w:rsid w:val="000A6167"/>
    <w:rsid w:val="000A669D"/>
    <w:rsid w:val="000B3C7C"/>
    <w:rsid w:val="000B489A"/>
    <w:rsid w:val="000C2B2E"/>
    <w:rsid w:val="000C3A2A"/>
    <w:rsid w:val="000C4654"/>
    <w:rsid w:val="000C75BE"/>
    <w:rsid w:val="000D5FBB"/>
    <w:rsid w:val="000E1199"/>
    <w:rsid w:val="000E1254"/>
    <w:rsid w:val="000E5608"/>
    <w:rsid w:val="000F22A6"/>
    <w:rsid w:val="000F3BAA"/>
    <w:rsid w:val="000F5D09"/>
    <w:rsid w:val="000F7962"/>
    <w:rsid w:val="0010245D"/>
    <w:rsid w:val="00106804"/>
    <w:rsid w:val="00107A57"/>
    <w:rsid w:val="00110152"/>
    <w:rsid w:val="001136C9"/>
    <w:rsid w:val="00114238"/>
    <w:rsid w:val="00114DE7"/>
    <w:rsid w:val="001203CB"/>
    <w:rsid w:val="00120FC0"/>
    <w:rsid w:val="0012194C"/>
    <w:rsid w:val="00121C91"/>
    <w:rsid w:val="001232D2"/>
    <w:rsid w:val="00125A9B"/>
    <w:rsid w:val="00126634"/>
    <w:rsid w:val="00126F65"/>
    <w:rsid w:val="0013011C"/>
    <w:rsid w:val="00136010"/>
    <w:rsid w:val="00137B35"/>
    <w:rsid w:val="001423F1"/>
    <w:rsid w:val="001439FE"/>
    <w:rsid w:val="00145121"/>
    <w:rsid w:val="00153A59"/>
    <w:rsid w:val="0015606C"/>
    <w:rsid w:val="00156F61"/>
    <w:rsid w:val="00161F91"/>
    <w:rsid w:val="001636DD"/>
    <w:rsid w:val="001646D9"/>
    <w:rsid w:val="00165757"/>
    <w:rsid w:val="00165BF7"/>
    <w:rsid w:val="001721E7"/>
    <w:rsid w:val="00174A37"/>
    <w:rsid w:val="00175D57"/>
    <w:rsid w:val="00177FBB"/>
    <w:rsid w:val="001814E1"/>
    <w:rsid w:val="00184B82"/>
    <w:rsid w:val="001853A4"/>
    <w:rsid w:val="00186AB0"/>
    <w:rsid w:val="001908EA"/>
    <w:rsid w:val="001A05C7"/>
    <w:rsid w:val="001A6FC3"/>
    <w:rsid w:val="001B0D37"/>
    <w:rsid w:val="001B0EA9"/>
    <w:rsid w:val="001B0EC5"/>
    <w:rsid w:val="001B1B72"/>
    <w:rsid w:val="001B262F"/>
    <w:rsid w:val="001B2C8B"/>
    <w:rsid w:val="001B71C9"/>
    <w:rsid w:val="001B7806"/>
    <w:rsid w:val="001C0F11"/>
    <w:rsid w:val="001C169C"/>
    <w:rsid w:val="001C5386"/>
    <w:rsid w:val="001D0B43"/>
    <w:rsid w:val="001D36FA"/>
    <w:rsid w:val="001D77CF"/>
    <w:rsid w:val="001E00C6"/>
    <w:rsid w:val="001E0675"/>
    <w:rsid w:val="001E3B9D"/>
    <w:rsid w:val="001E7F9E"/>
    <w:rsid w:val="001F4E85"/>
    <w:rsid w:val="001F620C"/>
    <w:rsid w:val="0020107A"/>
    <w:rsid w:val="002011AB"/>
    <w:rsid w:val="00201611"/>
    <w:rsid w:val="002043BD"/>
    <w:rsid w:val="0020643A"/>
    <w:rsid w:val="002073FD"/>
    <w:rsid w:val="00215CC6"/>
    <w:rsid w:val="002177CB"/>
    <w:rsid w:val="00217EA0"/>
    <w:rsid w:val="0022323F"/>
    <w:rsid w:val="00227E0F"/>
    <w:rsid w:val="0023088A"/>
    <w:rsid w:val="00233A20"/>
    <w:rsid w:val="0023773C"/>
    <w:rsid w:val="00245B10"/>
    <w:rsid w:val="00246794"/>
    <w:rsid w:val="002530B9"/>
    <w:rsid w:val="0025714C"/>
    <w:rsid w:val="0026216E"/>
    <w:rsid w:val="00262E4D"/>
    <w:rsid w:val="0026420C"/>
    <w:rsid w:val="0026488C"/>
    <w:rsid w:val="00266491"/>
    <w:rsid w:val="00266DB0"/>
    <w:rsid w:val="00273859"/>
    <w:rsid w:val="00284168"/>
    <w:rsid w:val="002864BC"/>
    <w:rsid w:val="0028780C"/>
    <w:rsid w:val="002906E8"/>
    <w:rsid w:val="00293A60"/>
    <w:rsid w:val="002A70B3"/>
    <w:rsid w:val="002B69D8"/>
    <w:rsid w:val="002B6BA9"/>
    <w:rsid w:val="002D2737"/>
    <w:rsid w:val="002D7B66"/>
    <w:rsid w:val="002E038A"/>
    <w:rsid w:val="002E3600"/>
    <w:rsid w:val="002E7A4E"/>
    <w:rsid w:val="002F29EE"/>
    <w:rsid w:val="00300A8C"/>
    <w:rsid w:val="00305054"/>
    <w:rsid w:val="00307635"/>
    <w:rsid w:val="003079BC"/>
    <w:rsid w:val="00313583"/>
    <w:rsid w:val="0031392B"/>
    <w:rsid w:val="00313B32"/>
    <w:rsid w:val="003222DE"/>
    <w:rsid w:val="003233F2"/>
    <w:rsid w:val="0032547C"/>
    <w:rsid w:val="0032724B"/>
    <w:rsid w:val="0032782B"/>
    <w:rsid w:val="0033464B"/>
    <w:rsid w:val="003364E9"/>
    <w:rsid w:val="00341FDC"/>
    <w:rsid w:val="003445F3"/>
    <w:rsid w:val="003502F3"/>
    <w:rsid w:val="00355821"/>
    <w:rsid w:val="003610E0"/>
    <w:rsid w:val="003702C1"/>
    <w:rsid w:val="00370B66"/>
    <w:rsid w:val="00372F40"/>
    <w:rsid w:val="00375A8C"/>
    <w:rsid w:val="00381099"/>
    <w:rsid w:val="003820CA"/>
    <w:rsid w:val="00394920"/>
    <w:rsid w:val="00397D4C"/>
    <w:rsid w:val="003A0365"/>
    <w:rsid w:val="003A0375"/>
    <w:rsid w:val="003A0EE2"/>
    <w:rsid w:val="003A1276"/>
    <w:rsid w:val="003A5CD4"/>
    <w:rsid w:val="003B1B6E"/>
    <w:rsid w:val="003C0908"/>
    <w:rsid w:val="003D0FBA"/>
    <w:rsid w:val="003D5DBF"/>
    <w:rsid w:val="003E3586"/>
    <w:rsid w:val="003E7FD0"/>
    <w:rsid w:val="003F0392"/>
    <w:rsid w:val="003F43C7"/>
    <w:rsid w:val="0040568C"/>
    <w:rsid w:val="004062F0"/>
    <w:rsid w:val="00410AF3"/>
    <w:rsid w:val="00410C0A"/>
    <w:rsid w:val="0041268A"/>
    <w:rsid w:val="00412705"/>
    <w:rsid w:val="00412EB1"/>
    <w:rsid w:val="00414245"/>
    <w:rsid w:val="00417817"/>
    <w:rsid w:val="004178CA"/>
    <w:rsid w:val="00426E16"/>
    <w:rsid w:val="0044253C"/>
    <w:rsid w:val="004427A8"/>
    <w:rsid w:val="00442BD3"/>
    <w:rsid w:val="004437A5"/>
    <w:rsid w:val="00444A3D"/>
    <w:rsid w:val="00460FE9"/>
    <w:rsid w:val="00462F48"/>
    <w:rsid w:val="0046612F"/>
    <w:rsid w:val="00467610"/>
    <w:rsid w:val="0047223C"/>
    <w:rsid w:val="00472597"/>
    <w:rsid w:val="00473EA6"/>
    <w:rsid w:val="004764FC"/>
    <w:rsid w:val="00481BB6"/>
    <w:rsid w:val="00486AE1"/>
    <w:rsid w:val="004915D1"/>
    <w:rsid w:val="00491EDD"/>
    <w:rsid w:val="004939F2"/>
    <w:rsid w:val="00493FA8"/>
    <w:rsid w:val="00495751"/>
    <w:rsid w:val="00497D8B"/>
    <w:rsid w:val="004A49A1"/>
    <w:rsid w:val="004B01D6"/>
    <w:rsid w:val="004B041D"/>
    <w:rsid w:val="004B284E"/>
    <w:rsid w:val="004B3322"/>
    <w:rsid w:val="004B5E75"/>
    <w:rsid w:val="004B6537"/>
    <w:rsid w:val="004D41B8"/>
    <w:rsid w:val="004D4F5D"/>
    <w:rsid w:val="004D72DD"/>
    <w:rsid w:val="004E2E00"/>
    <w:rsid w:val="004F09C0"/>
    <w:rsid w:val="004F29CC"/>
    <w:rsid w:val="004F50D8"/>
    <w:rsid w:val="004F6955"/>
    <w:rsid w:val="00502D8E"/>
    <w:rsid w:val="005033CB"/>
    <w:rsid w:val="00506351"/>
    <w:rsid w:val="00511628"/>
    <w:rsid w:val="005117F4"/>
    <w:rsid w:val="00514DB1"/>
    <w:rsid w:val="00516D35"/>
    <w:rsid w:val="00522632"/>
    <w:rsid w:val="00524746"/>
    <w:rsid w:val="00524CF6"/>
    <w:rsid w:val="00527528"/>
    <w:rsid w:val="00531310"/>
    <w:rsid w:val="00534982"/>
    <w:rsid w:val="00540418"/>
    <w:rsid w:val="005640C6"/>
    <w:rsid w:val="00565128"/>
    <w:rsid w:val="00565BC3"/>
    <w:rsid w:val="00567E46"/>
    <w:rsid w:val="005706D9"/>
    <w:rsid w:val="00572656"/>
    <w:rsid w:val="00572976"/>
    <w:rsid w:val="00575404"/>
    <w:rsid w:val="0057638B"/>
    <w:rsid w:val="00576A8D"/>
    <w:rsid w:val="00582405"/>
    <w:rsid w:val="00584484"/>
    <w:rsid w:val="005855FA"/>
    <w:rsid w:val="005859FA"/>
    <w:rsid w:val="00595CAD"/>
    <w:rsid w:val="00596CFC"/>
    <w:rsid w:val="00596D2E"/>
    <w:rsid w:val="005A2589"/>
    <w:rsid w:val="005A285B"/>
    <w:rsid w:val="005A371E"/>
    <w:rsid w:val="005B1D10"/>
    <w:rsid w:val="005B6522"/>
    <w:rsid w:val="005C74A9"/>
    <w:rsid w:val="005D2601"/>
    <w:rsid w:val="005D63B6"/>
    <w:rsid w:val="005E43F4"/>
    <w:rsid w:val="005E6214"/>
    <w:rsid w:val="005F38CB"/>
    <w:rsid w:val="005F4E85"/>
    <w:rsid w:val="00601287"/>
    <w:rsid w:val="006046CA"/>
    <w:rsid w:val="006048D2"/>
    <w:rsid w:val="006103AC"/>
    <w:rsid w:val="00611E39"/>
    <w:rsid w:val="006133D2"/>
    <w:rsid w:val="006147C2"/>
    <w:rsid w:val="00620E8D"/>
    <w:rsid w:val="00624AF0"/>
    <w:rsid w:val="00633237"/>
    <w:rsid w:val="00636BC8"/>
    <w:rsid w:val="006371E0"/>
    <w:rsid w:val="006407C6"/>
    <w:rsid w:val="00640E11"/>
    <w:rsid w:val="00641410"/>
    <w:rsid w:val="006429CD"/>
    <w:rsid w:val="00643630"/>
    <w:rsid w:val="006453C1"/>
    <w:rsid w:val="0065283C"/>
    <w:rsid w:val="0065490B"/>
    <w:rsid w:val="00655F63"/>
    <w:rsid w:val="00656FD3"/>
    <w:rsid w:val="00660F7F"/>
    <w:rsid w:val="00661772"/>
    <w:rsid w:val="00662E1A"/>
    <w:rsid w:val="00664EA2"/>
    <w:rsid w:val="00665222"/>
    <w:rsid w:val="006668AF"/>
    <w:rsid w:val="00676D1E"/>
    <w:rsid w:val="006817A5"/>
    <w:rsid w:val="00682DA8"/>
    <w:rsid w:val="006830CB"/>
    <w:rsid w:val="00684AF3"/>
    <w:rsid w:val="00686BEB"/>
    <w:rsid w:val="006A0B2C"/>
    <w:rsid w:val="006A605D"/>
    <w:rsid w:val="006B023A"/>
    <w:rsid w:val="006B16E7"/>
    <w:rsid w:val="006B48FF"/>
    <w:rsid w:val="006B729B"/>
    <w:rsid w:val="006C03CB"/>
    <w:rsid w:val="006C3DC5"/>
    <w:rsid w:val="006C5F52"/>
    <w:rsid w:val="006D350A"/>
    <w:rsid w:val="006D75D6"/>
    <w:rsid w:val="006E0202"/>
    <w:rsid w:val="006E6ABC"/>
    <w:rsid w:val="006E6B8E"/>
    <w:rsid w:val="006E77DD"/>
    <w:rsid w:val="006F6105"/>
    <w:rsid w:val="006F655F"/>
    <w:rsid w:val="0071275D"/>
    <w:rsid w:val="007147F1"/>
    <w:rsid w:val="00723458"/>
    <w:rsid w:val="00725769"/>
    <w:rsid w:val="007303FB"/>
    <w:rsid w:val="00731263"/>
    <w:rsid w:val="00732C21"/>
    <w:rsid w:val="00735303"/>
    <w:rsid w:val="00735C8C"/>
    <w:rsid w:val="00737CE6"/>
    <w:rsid w:val="00740458"/>
    <w:rsid w:val="007415E8"/>
    <w:rsid w:val="0074343E"/>
    <w:rsid w:val="007626C3"/>
    <w:rsid w:val="007716F2"/>
    <w:rsid w:val="00772D11"/>
    <w:rsid w:val="00776082"/>
    <w:rsid w:val="00781168"/>
    <w:rsid w:val="007811CB"/>
    <w:rsid w:val="00781278"/>
    <w:rsid w:val="0078139D"/>
    <w:rsid w:val="00786975"/>
    <w:rsid w:val="00790B8B"/>
    <w:rsid w:val="007935F9"/>
    <w:rsid w:val="00793DC3"/>
    <w:rsid w:val="00794F06"/>
    <w:rsid w:val="0079582C"/>
    <w:rsid w:val="007A2E66"/>
    <w:rsid w:val="007A4AC0"/>
    <w:rsid w:val="007A5C35"/>
    <w:rsid w:val="007B16ED"/>
    <w:rsid w:val="007B1A84"/>
    <w:rsid w:val="007B4655"/>
    <w:rsid w:val="007B47A8"/>
    <w:rsid w:val="007C33A9"/>
    <w:rsid w:val="007C4734"/>
    <w:rsid w:val="007C5FB3"/>
    <w:rsid w:val="007C7CE3"/>
    <w:rsid w:val="007D16CA"/>
    <w:rsid w:val="007D31BE"/>
    <w:rsid w:val="007D6E9A"/>
    <w:rsid w:val="007E1AFA"/>
    <w:rsid w:val="007E7DC3"/>
    <w:rsid w:val="007F06CA"/>
    <w:rsid w:val="007F2850"/>
    <w:rsid w:val="007F5B63"/>
    <w:rsid w:val="00802567"/>
    <w:rsid w:val="00803F8D"/>
    <w:rsid w:val="008043DB"/>
    <w:rsid w:val="008053A2"/>
    <w:rsid w:val="0080591B"/>
    <w:rsid w:val="00810ACF"/>
    <w:rsid w:val="00810CE1"/>
    <w:rsid w:val="00811857"/>
    <w:rsid w:val="00811906"/>
    <w:rsid w:val="00813C52"/>
    <w:rsid w:val="00816BF6"/>
    <w:rsid w:val="00833898"/>
    <w:rsid w:val="0083507C"/>
    <w:rsid w:val="00842599"/>
    <w:rsid w:val="00843840"/>
    <w:rsid w:val="00862F52"/>
    <w:rsid w:val="008637C1"/>
    <w:rsid w:val="00866DC7"/>
    <w:rsid w:val="00881751"/>
    <w:rsid w:val="008859A1"/>
    <w:rsid w:val="0088715C"/>
    <w:rsid w:val="008913A9"/>
    <w:rsid w:val="00893945"/>
    <w:rsid w:val="008976A3"/>
    <w:rsid w:val="008A6E4D"/>
    <w:rsid w:val="008B0017"/>
    <w:rsid w:val="008B6109"/>
    <w:rsid w:val="008C52CC"/>
    <w:rsid w:val="008D4272"/>
    <w:rsid w:val="008E3652"/>
    <w:rsid w:val="008E38D7"/>
    <w:rsid w:val="008F2BC9"/>
    <w:rsid w:val="008F471B"/>
    <w:rsid w:val="00900209"/>
    <w:rsid w:val="009042FD"/>
    <w:rsid w:val="00905558"/>
    <w:rsid w:val="009133A2"/>
    <w:rsid w:val="0091347A"/>
    <w:rsid w:val="009206EA"/>
    <w:rsid w:val="00925026"/>
    <w:rsid w:val="0093047D"/>
    <w:rsid w:val="00932E78"/>
    <w:rsid w:val="009337B6"/>
    <w:rsid w:val="009478B4"/>
    <w:rsid w:val="0095224D"/>
    <w:rsid w:val="00956F64"/>
    <w:rsid w:val="0096009B"/>
    <w:rsid w:val="00963099"/>
    <w:rsid w:val="0096474B"/>
    <w:rsid w:val="00970701"/>
    <w:rsid w:val="00973D14"/>
    <w:rsid w:val="00975ADC"/>
    <w:rsid w:val="00976279"/>
    <w:rsid w:val="00976B3A"/>
    <w:rsid w:val="00980ECB"/>
    <w:rsid w:val="00982A1D"/>
    <w:rsid w:val="00985404"/>
    <w:rsid w:val="00987EAF"/>
    <w:rsid w:val="0099048E"/>
    <w:rsid w:val="009909AB"/>
    <w:rsid w:val="00994457"/>
    <w:rsid w:val="009A0695"/>
    <w:rsid w:val="009A1108"/>
    <w:rsid w:val="009B3C74"/>
    <w:rsid w:val="009C1CD1"/>
    <w:rsid w:val="009C47DB"/>
    <w:rsid w:val="009C54BF"/>
    <w:rsid w:val="009C721E"/>
    <w:rsid w:val="009C7BB0"/>
    <w:rsid w:val="009D4D8E"/>
    <w:rsid w:val="009E0CC3"/>
    <w:rsid w:val="009E5F2A"/>
    <w:rsid w:val="009E60D5"/>
    <w:rsid w:val="009F1266"/>
    <w:rsid w:val="009F4C41"/>
    <w:rsid w:val="00A04974"/>
    <w:rsid w:val="00A0752F"/>
    <w:rsid w:val="00A10E8A"/>
    <w:rsid w:val="00A14B74"/>
    <w:rsid w:val="00A16E67"/>
    <w:rsid w:val="00A17853"/>
    <w:rsid w:val="00A200EA"/>
    <w:rsid w:val="00A24B5C"/>
    <w:rsid w:val="00A25A64"/>
    <w:rsid w:val="00A274CF"/>
    <w:rsid w:val="00A30168"/>
    <w:rsid w:val="00A31BF9"/>
    <w:rsid w:val="00A51FB6"/>
    <w:rsid w:val="00A52E01"/>
    <w:rsid w:val="00A62685"/>
    <w:rsid w:val="00A670FB"/>
    <w:rsid w:val="00A711D8"/>
    <w:rsid w:val="00A770CC"/>
    <w:rsid w:val="00A81B34"/>
    <w:rsid w:val="00A83BD1"/>
    <w:rsid w:val="00A85ECC"/>
    <w:rsid w:val="00A911BD"/>
    <w:rsid w:val="00A9198F"/>
    <w:rsid w:val="00A924F4"/>
    <w:rsid w:val="00A92BF9"/>
    <w:rsid w:val="00AA4756"/>
    <w:rsid w:val="00AA5F6B"/>
    <w:rsid w:val="00AB13B7"/>
    <w:rsid w:val="00AB1994"/>
    <w:rsid w:val="00AB3344"/>
    <w:rsid w:val="00AB4D6E"/>
    <w:rsid w:val="00AB6104"/>
    <w:rsid w:val="00AB6C5C"/>
    <w:rsid w:val="00AB7D6A"/>
    <w:rsid w:val="00AC2BEB"/>
    <w:rsid w:val="00AC47CB"/>
    <w:rsid w:val="00AC5103"/>
    <w:rsid w:val="00AC6BC3"/>
    <w:rsid w:val="00AC7206"/>
    <w:rsid w:val="00AD02DB"/>
    <w:rsid w:val="00AD0E70"/>
    <w:rsid w:val="00AD1576"/>
    <w:rsid w:val="00AD28ED"/>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277C2"/>
    <w:rsid w:val="00B326B0"/>
    <w:rsid w:val="00B345DE"/>
    <w:rsid w:val="00B35A7E"/>
    <w:rsid w:val="00B400BD"/>
    <w:rsid w:val="00B42A02"/>
    <w:rsid w:val="00B42BF0"/>
    <w:rsid w:val="00B45913"/>
    <w:rsid w:val="00B50F96"/>
    <w:rsid w:val="00B5759C"/>
    <w:rsid w:val="00B61B23"/>
    <w:rsid w:val="00B626D7"/>
    <w:rsid w:val="00B6285F"/>
    <w:rsid w:val="00B62897"/>
    <w:rsid w:val="00B65FA7"/>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C1732"/>
    <w:rsid w:val="00BC5E8F"/>
    <w:rsid w:val="00BD1C57"/>
    <w:rsid w:val="00BD5C94"/>
    <w:rsid w:val="00BE4B00"/>
    <w:rsid w:val="00BF5C7D"/>
    <w:rsid w:val="00BF7CA4"/>
    <w:rsid w:val="00C0293A"/>
    <w:rsid w:val="00C12269"/>
    <w:rsid w:val="00C1375F"/>
    <w:rsid w:val="00C15B56"/>
    <w:rsid w:val="00C20B56"/>
    <w:rsid w:val="00C2252C"/>
    <w:rsid w:val="00C2262F"/>
    <w:rsid w:val="00C22F80"/>
    <w:rsid w:val="00C269AE"/>
    <w:rsid w:val="00C31117"/>
    <w:rsid w:val="00C32634"/>
    <w:rsid w:val="00C32905"/>
    <w:rsid w:val="00C32B96"/>
    <w:rsid w:val="00C41566"/>
    <w:rsid w:val="00C44F01"/>
    <w:rsid w:val="00C55772"/>
    <w:rsid w:val="00C558A9"/>
    <w:rsid w:val="00C56A30"/>
    <w:rsid w:val="00C57B0A"/>
    <w:rsid w:val="00C6332B"/>
    <w:rsid w:val="00C65D40"/>
    <w:rsid w:val="00C662F3"/>
    <w:rsid w:val="00C73ED8"/>
    <w:rsid w:val="00C80A56"/>
    <w:rsid w:val="00C83205"/>
    <w:rsid w:val="00C83BE6"/>
    <w:rsid w:val="00C929C8"/>
    <w:rsid w:val="00C9309B"/>
    <w:rsid w:val="00C95417"/>
    <w:rsid w:val="00CA299D"/>
    <w:rsid w:val="00CA2D37"/>
    <w:rsid w:val="00CA5468"/>
    <w:rsid w:val="00CB1CEC"/>
    <w:rsid w:val="00CB39B9"/>
    <w:rsid w:val="00CB4256"/>
    <w:rsid w:val="00CB4450"/>
    <w:rsid w:val="00CC02BC"/>
    <w:rsid w:val="00CC08B3"/>
    <w:rsid w:val="00CC2455"/>
    <w:rsid w:val="00CC27D9"/>
    <w:rsid w:val="00CC53A5"/>
    <w:rsid w:val="00CC5CB6"/>
    <w:rsid w:val="00CD7442"/>
    <w:rsid w:val="00CE051B"/>
    <w:rsid w:val="00CE06A5"/>
    <w:rsid w:val="00CE36C7"/>
    <w:rsid w:val="00CE3A44"/>
    <w:rsid w:val="00CE3AC7"/>
    <w:rsid w:val="00CF3334"/>
    <w:rsid w:val="00CF344F"/>
    <w:rsid w:val="00D03720"/>
    <w:rsid w:val="00D04581"/>
    <w:rsid w:val="00D0510A"/>
    <w:rsid w:val="00D055EC"/>
    <w:rsid w:val="00D0711A"/>
    <w:rsid w:val="00D13436"/>
    <w:rsid w:val="00D136C5"/>
    <w:rsid w:val="00D154BE"/>
    <w:rsid w:val="00D1770E"/>
    <w:rsid w:val="00D22757"/>
    <w:rsid w:val="00D240AD"/>
    <w:rsid w:val="00D25D34"/>
    <w:rsid w:val="00D325BD"/>
    <w:rsid w:val="00D325ED"/>
    <w:rsid w:val="00D404ED"/>
    <w:rsid w:val="00D41EB5"/>
    <w:rsid w:val="00D460A3"/>
    <w:rsid w:val="00D4624A"/>
    <w:rsid w:val="00D46E2F"/>
    <w:rsid w:val="00D50A99"/>
    <w:rsid w:val="00D51261"/>
    <w:rsid w:val="00D54C5B"/>
    <w:rsid w:val="00D626D4"/>
    <w:rsid w:val="00D677EF"/>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064FA"/>
    <w:rsid w:val="00E10430"/>
    <w:rsid w:val="00E1150D"/>
    <w:rsid w:val="00E11D83"/>
    <w:rsid w:val="00E1334E"/>
    <w:rsid w:val="00E136C7"/>
    <w:rsid w:val="00E13FEA"/>
    <w:rsid w:val="00E15B6E"/>
    <w:rsid w:val="00E24C87"/>
    <w:rsid w:val="00E309F3"/>
    <w:rsid w:val="00E32708"/>
    <w:rsid w:val="00E3623C"/>
    <w:rsid w:val="00E37828"/>
    <w:rsid w:val="00E42847"/>
    <w:rsid w:val="00E45EA9"/>
    <w:rsid w:val="00E622A9"/>
    <w:rsid w:val="00E64A6D"/>
    <w:rsid w:val="00E66834"/>
    <w:rsid w:val="00E74945"/>
    <w:rsid w:val="00E87BBE"/>
    <w:rsid w:val="00E9097D"/>
    <w:rsid w:val="00E933DF"/>
    <w:rsid w:val="00EA1039"/>
    <w:rsid w:val="00EA16C6"/>
    <w:rsid w:val="00EA3C5D"/>
    <w:rsid w:val="00EA5418"/>
    <w:rsid w:val="00EB0CAB"/>
    <w:rsid w:val="00EB1F1F"/>
    <w:rsid w:val="00EC185F"/>
    <w:rsid w:val="00EC4315"/>
    <w:rsid w:val="00EC561A"/>
    <w:rsid w:val="00EC581E"/>
    <w:rsid w:val="00ED08C8"/>
    <w:rsid w:val="00ED7A80"/>
    <w:rsid w:val="00ED7B94"/>
    <w:rsid w:val="00EE10DE"/>
    <w:rsid w:val="00EE14F0"/>
    <w:rsid w:val="00EE1674"/>
    <w:rsid w:val="00EE393F"/>
    <w:rsid w:val="00F00B08"/>
    <w:rsid w:val="00F04A31"/>
    <w:rsid w:val="00F04AA3"/>
    <w:rsid w:val="00F076A3"/>
    <w:rsid w:val="00F077A8"/>
    <w:rsid w:val="00F07FAF"/>
    <w:rsid w:val="00F17883"/>
    <w:rsid w:val="00F22101"/>
    <w:rsid w:val="00F2569F"/>
    <w:rsid w:val="00F345F1"/>
    <w:rsid w:val="00F37607"/>
    <w:rsid w:val="00F428F5"/>
    <w:rsid w:val="00F545E2"/>
    <w:rsid w:val="00F57E19"/>
    <w:rsid w:val="00F65B80"/>
    <w:rsid w:val="00F664E4"/>
    <w:rsid w:val="00F735CC"/>
    <w:rsid w:val="00F743A5"/>
    <w:rsid w:val="00F75E8F"/>
    <w:rsid w:val="00F843F2"/>
    <w:rsid w:val="00F9018A"/>
    <w:rsid w:val="00F92B59"/>
    <w:rsid w:val="00F94A6A"/>
    <w:rsid w:val="00F96944"/>
    <w:rsid w:val="00FA191C"/>
    <w:rsid w:val="00FA5F75"/>
    <w:rsid w:val="00FB63B3"/>
    <w:rsid w:val="00FB776C"/>
    <w:rsid w:val="00FC2D71"/>
    <w:rsid w:val="00FC30C2"/>
    <w:rsid w:val="00FC38BC"/>
    <w:rsid w:val="00FC43EB"/>
    <w:rsid w:val="00FC4656"/>
    <w:rsid w:val="00FD1A27"/>
    <w:rsid w:val="00FD63EF"/>
    <w:rsid w:val="00FD73DF"/>
    <w:rsid w:val="00FD741E"/>
    <w:rsid w:val="00FE3BF4"/>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C04CC-338E-4915-B7EF-982D3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772434612">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050C-4096-415A-A09F-C4C653A9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5818</Words>
  <Characters>32003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cp:revision>
  <cp:lastPrinted>2024-04-30T17:51:00Z</cp:lastPrinted>
  <dcterms:created xsi:type="dcterms:W3CDTF">2024-04-22T22:29:00Z</dcterms:created>
  <dcterms:modified xsi:type="dcterms:W3CDTF">2024-04-30T17:51:00Z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